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25A8" w14:textId="0A1B8BBC" w:rsidR="00FB1DF8" w:rsidRDefault="00DB6122" w:rsidP="00FB1DF8">
      <w:pPr>
        <w:autoSpaceDE w:val="0"/>
        <w:autoSpaceDN w:val="0"/>
        <w:adjustRightInd w:val="0"/>
        <w:rPr>
          <w:b/>
          <w:color w:val="80008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1DA29EC5" wp14:editId="1A4D8A4D">
                <wp:simplePos x="0" y="0"/>
                <wp:positionH relativeFrom="column">
                  <wp:posOffset>5429250</wp:posOffset>
                </wp:positionH>
                <wp:positionV relativeFrom="paragraph">
                  <wp:posOffset>-243205</wp:posOffset>
                </wp:positionV>
                <wp:extent cx="1280906" cy="1404620"/>
                <wp:effectExtent l="0" t="0" r="14605" b="25400"/>
                <wp:wrapNone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906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6561" w14:textId="77777777" w:rsidR="00DB6122" w:rsidRPr="007A696D" w:rsidRDefault="00DB6122" w:rsidP="00DB61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96D">
                              <w:rPr>
                                <w:b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2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-19.15pt;width:100.85pt;height:110.6pt;z-index:252126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" fillcolor="white [3201]" strokecolor="black [3200]" strokeweight="1pt">
                <v:textbox style="mso-fit-shape-to-text:t">
                  <w:txbxContent>
                    <w:p w14:paraId="28A86561" w14:textId="77777777" w:rsidR="00DB6122" w:rsidRPr="007A696D" w:rsidRDefault="00DB6122" w:rsidP="00DB6122">
                      <w:pPr>
                        <w:jc w:val="center"/>
                        <w:rPr>
                          <w:b/>
                        </w:rPr>
                      </w:pPr>
                      <w:r w:rsidRPr="007A696D">
                        <w:rPr>
                          <w:b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165F8895" w14:textId="6034B22F" w:rsidR="00FB1DF8" w:rsidRDefault="00FB1DF8" w:rsidP="008A1793">
      <w:pPr>
        <w:pStyle w:val="Heading1"/>
      </w:pPr>
      <w:bookmarkStart w:id="0" w:name="_Toc144378373"/>
      <w:r w:rsidRPr="00DB77C8">
        <w:t>A</w:t>
      </w:r>
      <w:r w:rsidR="008A1793">
        <w:t>ppendix</w:t>
      </w:r>
      <w:r w:rsidRPr="00DB77C8">
        <w:t xml:space="preserve"> </w:t>
      </w:r>
      <w:r w:rsidR="00E546D5">
        <w:t>F</w:t>
      </w:r>
      <w:r w:rsidR="008A1793">
        <w:t xml:space="preserve"> – Incident Coordinator Role Card</w:t>
      </w:r>
      <w:bookmarkEnd w:id="0"/>
    </w:p>
    <w:p w14:paraId="3A90F7D0" w14:textId="77777777" w:rsidR="00E546D5" w:rsidRPr="00DB77C8" w:rsidRDefault="00E546D5" w:rsidP="00E546D5">
      <w:pPr>
        <w:autoSpaceDE w:val="0"/>
        <w:autoSpaceDN w:val="0"/>
        <w:adjustRightInd w:val="0"/>
        <w:rPr>
          <w:b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128"/>
        <w:gridCol w:w="3451"/>
        <w:gridCol w:w="1775"/>
      </w:tblGrid>
      <w:tr w:rsidR="00FB1DF8" w:rsidRPr="00736D82" w14:paraId="66FB800A" w14:textId="77777777" w:rsidTr="00197927">
        <w:tc>
          <w:tcPr>
            <w:tcW w:w="5230" w:type="dxa"/>
            <w:gridSpan w:val="2"/>
            <w:shd w:val="clear" w:color="auto" w:fill="FF0000"/>
          </w:tcPr>
          <w:p w14:paraId="6A077AD7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  <w:sz w:val="22"/>
                <w:szCs w:val="22"/>
              </w:rPr>
            </w:pPr>
            <w:r w:rsidRPr="00736D82">
              <w:rPr>
                <w:b/>
                <w:color w:val="FFFFFF"/>
                <w:sz w:val="28"/>
                <w:szCs w:val="28"/>
              </w:rPr>
              <w:t>Action Card</w:t>
            </w:r>
          </w:p>
        </w:tc>
        <w:tc>
          <w:tcPr>
            <w:tcW w:w="5226" w:type="dxa"/>
            <w:gridSpan w:val="2"/>
            <w:shd w:val="clear" w:color="auto" w:fill="FF0000"/>
          </w:tcPr>
          <w:p w14:paraId="3C008B95" w14:textId="77777777" w:rsidR="00FB1DF8" w:rsidRPr="00736D82" w:rsidRDefault="00FB1DF8" w:rsidP="00E949CE">
            <w:pPr>
              <w:spacing w:before="40" w:after="40"/>
              <w:rPr>
                <w:b/>
                <w:color w:val="FFFFFF"/>
                <w:sz w:val="28"/>
                <w:szCs w:val="28"/>
              </w:rPr>
            </w:pPr>
            <w:r w:rsidRPr="00736D82">
              <w:rPr>
                <w:b/>
                <w:color w:val="FFFFFF"/>
                <w:sz w:val="28"/>
                <w:szCs w:val="28"/>
              </w:rPr>
              <w:t>Incident Coordinator</w:t>
            </w:r>
          </w:p>
          <w:p w14:paraId="7BF7A82B" w14:textId="77777777" w:rsidR="00FB1DF8" w:rsidRPr="00001CE5" w:rsidRDefault="00FB1DF8" w:rsidP="00E949CE">
            <w:pPr>
              <w:spacing w:before="40" w:after="40"/>
              <w:rPr>
                <w:b/>
                <w:bCs/>
                <w:color w:val="FFFFFF"/>
              </w:rPr>
            </w:pPr>
            <w:r w:rsidRPr="00001CE5">
              <w:rPr>
                <w:b/>
                <w:bCs/>
                <w:color w:val="FFFFFF"/>
              </w:rPr>
              <w:t>(This role acts as immediate assistant to the Director chairing Gold Command)</w:t>
            </w:r>
          </w:p>
        </w:tc>
      </w:tr>
      <w:tr w:rsidR="00FB1DF8" w:rsidRPr="00736D82" w14:paraId="0B774956" w14:textId="77777777" w:rsidTr="00197927">
        <w:tc>
          <w:tcPr>
            <w:tcW w:w="5230" w:type="dxa"/>
            <w:gridSpan w:val="2"/>
            <w:shd w:val="clear" w:color="auto" w:fill="FF0000"/>
          </w:tcPr>
          <w:p w14:paraId="596BFABD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  <w:sz w:val="22"/>
                <w:szCs w:val="22"/>
              </w:rPr>
            </w:pPr>
            <w:r w:rsidRPr="00736D82">
              <w:rPr>
                <w:b/>
                <w:bCs/>
                <w:color w:val="FFFFFF"/>
                <w:sz w:val="22"/>
                <w:szCs w:val="22"/>
              </w:rPr>
              <w:t xml:space="preserve">Accountable to </w:t>
            </w:r>
          </w:p>
        </w:tc>
        <w:tc>
          <w:tcPr>
            <w:tcW w:w="5226" w:type="dxa"/>
            <w:gridSpan w:val="2"/>
            <w:shd w:val="clear" w:color="auto" w:fill="FF0000"/>
          </w:tcPr>
          <w:p w14:paraId="1E7F0F36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  <w:sz w:val="22"/>
                <w:szCs w:val="22"/>
              </w:rPr>
            </w:pPr>
            <w:r w:rsidRPr="00736D82">
              <w:rPr>
                <w:b/>
                <w:bCs/>
                <w:color w:val="FFFFFF"/>
                <w:sz w:val="22"/>
                <w:szCs w:val="22"/>
              </w:rPr>
              <w:t>Accountable Emergency Officer or deputy</w:t>
            </w:r>
          </w:p>
        </w:tc>
      </w:tr>
      <w:tr w:rsidR="00FB1DF8" w:rsidRPr="00736D82" w14:paraId="48761151" w14:textId="77777777" w:rsidTr="00197927">
        <w:tc>
          <w:tcPr>
            <w:tcW w:w="10456" w:type="dxa"/>
            <w:gridSpan w:val="4"/>
            <w:shd w:val="clear" w:color="auto" w:fill="auto"/>
          </w:tcPr>
          <w:p w14:paraId="7A451CFD" w14:textId="3074FE50" w:rsidR="00FB1DF8" w:rsidRPr="00292571" w:rsidRDefault="00FB1DF8" w:rsidP="00E949CE">
            <w:pPr>
              <w:spacing w:before="40" w:after="40"/>
              <w:rPr>
                <w:b/>
                <w:bCs/>
                <w:color w:val="FFFFFF"/>
                <w:sz w:val="22"/>
                <w:szCs w:val="22"/>
              </w:rPr>
            </w:pPr>
            <w:r w:rsidRPr="00292571">
              <w:rPr>
                <w:b/>
                <w:color w:val="FF0000"/>
                <w:sz w:val="22"/>
                <w:szCs w:val="22"/>
              </w:rPr>
              <w:t xml:space="preserve">In the event that a </w:t>
            </w:r>
            <w:r w:rsidR="00197927" w:rsidRPr="00292571">
              <w:rPr>
                <w:b/>
                <w:color w:val="FF0000"/>
                <w:sz w:val="22"/>
                <w:szCs w:val="22"/>
              </w:rPr>
              <w:t xml:space="preserve">Critical or </w:t>
            </w:r>
            <w:r w:rsidRPr="00292571">
              <w:rPr>
                <w:b/>
                <w:color w:val="FF0000"/>
                <w:sz w:val="22"/>
                <w:szCs w:val="22"/>
              </w:rPr>
              <w:t>Major Incident is declared you will:</w:t>
            </w:r>
          </w:p>
        </w:tc>
      </w:tr>
      <w:tr w:rsidR="00FB1DF8" w:rsidRPr="00736D82" w14:paraId="30DE3FB4" w14:textId="77777777" w:rsidTr="00197927">
        <w:tc>
          <w:tcPr>
            <w:tcW w:w="1102" w:type="dxa"/>
            <w:shd w:val="clear" w:color="auto" w:fill="auto"/>
          </w:tcPr>
          <w:p w14:paraId="7483308E" w14:textId="77777777" w:rsidR="00FB1DF8" w:rsidRPr="00736D82" w:rsidRDefault="00FB1DF8" w:rsidP="00E949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6D82">
              <w:rPr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67EAB982" w14:textId="77777777" w:rsidR="00FB1DF8" w:rsidRPr="00736D82" w:rsidRDefault="00FB1DF8" w:rsidP="00E949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6D82">
              <w:rPr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775" w:type="dxa"/>
            <w:shd w:val="clear" w:color="auto" w:fill="auto"/>
          </w:tcPr>
          <w:p w14:paraId="32DBAF3B" w14:textId="77777777" w:rsidR="00FB1DF8" w:rsidRPr="00736D82" w:rsidRDefault="00FB1DF8" w:rsidP="00E949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6D82">
              <w:rPr>
                <w:b/>
                <w:bCs/>
                <w:color w:val="000000"/>
                <w:sz w:val="22"/>
                <w:szCs w:val="22"/>
              </w:rPr>
              <w:t>Time Completed</w:t>
            </w:r>
          </w:p>
        </w:tc>
      </w:tr>
      <w:tr w:rsidR="00FB1DF8" w:rsidRPr="00736D82" w14:paraId="1AAEE457" w14:textId="77777777" w:rsidTr="00197927">
        <w:tc>
          <w:tcPr>
            <w:tcW w:w="1102" w:type="dxa"/>
            <w:shd w:val="clear" w:color="auto" w:fill="auto"/>
          </w:tcPr>
          <w:p w14:paraId="593EAAFD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D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54329A81" w14:textId="0C4E7965" w:rsidR="00FB1DF8" w:rsidRPr="001B166A" w:rsidRDefault="00FB1DF8" w:rsidP="00E949CE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736D82">
              <w:rPr>
                <w:sz w:val="22"/>
                <w:szCs w:val="22"/>
              </w:rPr>
              <w:t xml:space="preserve">Regularly liaise with the </w:t>
            </w:r>
            <w:r w:rsidR="00197927">
              <w:rPr>
                <w:sz w:val="22"/>
                <w:szCs w:val="22"/>
              </w:rPr>
              <w:t>Gold Commander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75" w:type="dxa"/>
            <w:shd w:val="clear" w:color="auto" w:fill="auto"/>
          </w:tcPr>
          <w:p w14:paraId="345E249A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DF8" w:rsidRPr="00736D82" w14:paraId="1BA202DC" w14:textId="77777777" w:rsidTr="00197927">
        <w:tc>
          <w:tcPr>
            <w:tcW w:w="1102" w:type="dxa"/>
            <w:shd w:val="clear" w:color="auto" w:fill="auto"/>
          </w:tcPr>
          <w:p w14:paraId="427AA084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D8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7BC65B73" w14:textId="56181CDA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 w:rsidRPr="00736D82">
              <w:rPr>
                <w:sz w:val="22"/>
                <w:szCs w:val="22"/>
              </w:rPr>
              <w:t xml:space="preserve">Assist </w:t>
            </w:r>
            <w:r w:rsidR="00197927">
              <w:rPr>
                <w:sz w:val="22"/>
                <w:szCs w:val="22"/>
              </w:rPr>
              <w:t xml:space="preserve">with the setting up of </w:t>
            </w:r>
            <w:r w:rsidR="00802B38">
              <w:rPr>
                <w:sz w:val="22"/>
                <w:szCs w:val="22"/>
              </w:rPr>
              <w:t xml:space="preserve">Gold Command </w:t>
            </w:r>
            <w:r w:rsidR="00197927">
              <w:rPr>
                <w:sz w:val="22"/>
                <w:szCs w:val="22"/>
              </w:rPr>
              <w:t>MS Teams Meetings or in person meetings as required by the Gold Commander</w:t>
            </w:r>
            <w:r w:rsidR="00802B38">
              <w:rPr>
                <w:sz w:val="22"/>
                <w:szCs w:val="22"/>
              </w:rPr>
              <w:t>.  Ensure</w:t>
            </w:r>
            <w:r w:rsidR="00197927">
              <w:rPr>
                <w:sz w:val="22"/>
                <w:szCs w:val="22"/>
              </w:rPr>
              <w:t xml:space="preserve"> all staff required</w:t>
            </w:r>
            <w:r w:rsidR="00802B38">
              <w:rPr>
                <w:sz w:val="22"/>
                <w:szCs w:val="22"/>
              </w:rPr>
              <w:t xml:space="preserve"> at Gold Command</w:t>
            </w:r>
            <w:r w:rsidR="00197927">
              <w:rPr>
                <w:sz w:val="22"/>
                <w:szCs w:val="22"/>
              </w:rPr>
              <w:t xml:space="preserve"> are able to attend or</w:t>
            </w:r>
            <w:r w:rsidR="00802B38">
              <w:rPr>
                <w:sz w:val="22"/>
                <w:szCs w:val="22"/>
              </w:rPr>
              <w:t xml:space="preserve"> if not</w:t>
            </w:r>
            <w:r w:rsidR="00197927">
              <w:rPr>
                <w:sz w:val="22"/>
                <w:szCs w:val="22"/>
              </w:rPr>
              <w:t xml:space="preserve"> send deputies.</w:t>
            </w:r>
          </w:p>
          <w:p w14:paraId="7617AEB5" w14:textId="05965BF4" w:rsidR="004C2FD5" w:rsidRDefault="004C2FD5" w:rsidP="00E949CE">
            <w:pPr>
              <w:spacing w:before="40" w:after="40"/>
              <w:rPr>
                <w:sz w:val="22"/>
                <w:szCs w:val="22"/>
              </w:rPr>
            </w:pPr>
          </w:p>
          <w:p w14:paraId="74525F67" w14:textId="2587B241" w:rsidR="004C2FD5" w:rsidRDefault="004C2FD5" w:rsidP="00E94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how to set up an “in person” Gold Command at Woodfield Hours are included in the appendix below.</w:t>
            </w:r>
          </w:p>
          <w:p w14:paraId="756CC9A8" w14:textId="55FA3B6B" w:rsidR="00E5037F" w:rsidRPr="00736D82" w:rsidRDefault="00E5037F" w:rsidP="00E94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69812CD6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DF8" w:rsidRPr="00736D82" w14:paraId="75818CA7" w14:textId="77777777" w:rsidTr="00197927">
        <w:tc>
          <w:tcPr>
            <w:tcW w:w="1102" w:type="dxa"/>
            <w:shd w:val="clear" w:color="auto" w:fill="auto"/>
          </w:tcPr>
          <w:p w14:paraId="315461BA" w14:textId="77777777" w:rsidR="00FB1DF8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7369D88E" w14:textId="77777777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IT to establish a shared Incident Folder on L Drive for all Gold Command participants</w:t>
            </w:r>
            <w:r w:rsidR="00E546D5">
              <w:rPr>
                <w:sz w:val="22"/>
                <w:szCs w:val="22"/>
              </w:rPr>
              <w:t xml:space="preserve"> and admin support</w:t>
            </w:r>
            <w:r>
              <w:rPr>
                <w:sz w:val="22"/>
                <w:szCs w:val="22"/>
              </w:rPr>
              <w:t xml:space="preserve"> to access.  Ensure all incident related documents are stored here.</w:t>
            </w:r>
          </w:p>
          <w:p w14:paraId="0D35F211" w14:textId="03AF33FB" w:rsidR="00E5037F" w:rsidRDefault="00E5037F" w:rsidP="00E94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69943351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DF8" w:rsidRPr="00736D82" w14:paraId="78B3B378" w14:textId="77777777" w:rsidTr="00197927">
        <w:trPr>
          <w:trHeight w:val="1302"/>
        </w:trPr>
        <w:tc>
          <w:tcPr>
            <w:tcW w:w="1102" w:type="dxa"/>
            <w:shd w:val="clear" w:color="auto" w:fill="auto"/>
          </w:tcPr>
          <w:p w14:paraId="05FDE7E5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778A9C66" w14:textId="5B502645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 w:rsidRPr="006E3A37">
              <w:rPr>
                <w:sz w:val="22"/>
                <w:szCs w:val="22"/>
              </w:rPr>
              <w:t xml:space="preserve">Ensure there are sufficient trained </w:t>
            </w:r>
            <w:r w:rsidR="00E5037F">
              <w:rPr>
                <w:sz w:val="22"/>
                <w:szCs w:val="22"/>
              </w:rPr>
              <w:t>l</w:t>
            </w:r>
            <w:r w:rsidRPr="006E3A37">
              <w:rPr>
                <w:sz w:val="22"/>
                <w:szCs w:val="22"/>
              </w:rPr>
              <w:t xml:space="preserve">oggists available </w:t>
            </w:r>
            <w:r w:rsidR="00197927">
              <w:rPr>
                <w:sz w:val="22"/>
                <w:szCs w:val="22"/>
              </w:rPr>
              <w:t xml:space="preserve">for each </w:t>
            </w:r>
            <w:r w:rsidR="00E546D5">
              <w:rPr>
                <w:sz w:val="22"/>
                <w:szCs w:val="22"/>
              </w:rPr>
              <w:t xml:space="preserve">scheduled </w:t>
            </w:r>
            <w:r w:rsidR="00197927">
              <w:rPr>
                <w:sz w:val="22"/>
                <w:szCs w:val="22"/>
              </w:rPr>
              <w:t xml:space="preserve">Gold Command and they are able to access each MS Teams meeting.  Ensure there are </w:t>
            </w:r>
            <w:r w:rsidRPr="006E3A37">
              <w:rPr>
                <w:sz w:val="22"/>
                <w:szCs w:val="22"/>
              </w:rPr>
              <w:t xml:space="preserve">sufficient </w:t>
            </w:r>
            <w:r w:rsidR="00197927">
              <w:rPr>
                <w:sz w:val="22"/>
                <w:szCs w:val="22"/>
              </w:rPr>
              <w:t>admin</w:t>
            </w:r>
            <w:r w:rsidRPr="006E3A37">
              <w:rPr>
                <w:sz w:val="22"/>
                <w:szCs w:val="22"/>
              </w:rPr>
              <w:t xml:space="preserve"> </w:t>
            </w:r>
            <w:r w:rsidR="00197927">
              <w:rPr>
                <w:sz w:val="22"/>
                <w:szCs w:val="22"/>
              </w:rPr>
              <w:t xml:space="preserve">resources to deal with </w:t>
            </w:r>
            <w:r w:rsidRPr="006E3A37">
              <w:rPr>
                <w:sz w:val="22"/>
                <w:szCs w:val="22"/>
              </w:rPr>
              <w:t xml:space="preserve">telephone calls, </w:t>
            </w:r>
            <w:r w:rsidR="00197927">
              <w:rPr>
                <w:sz w:val="22"/>
                <w:szCs w:val="22"/>
              </w:rPr>
              <w:t xml:space="preserve">email </w:t>
            </w:r>
            <w:r w:rsidRPr="006E3A37">
              <w:rPr>
                <w:sz w:val="22"/>
                <w:szCs w:val="22"/>
              </w:rPr>
              <w:t>correspondence and undertake administrative duties as required</w:t>
            </w:r>
            <w:r>
              <w:rPr>
                <w:sz w:val="22"/>
                <w:szCs w:val="22"/>
              </w:rPr>
              <w:t xml:space="preserve"> such as preparing papers for Gold Command</w:t>
            </w:r>
            <w:r w:rsidRPr="006E3A37">
              <w:rPr>
                <w:sz w:val="22"/>
                <w:szCs w:val="22"/>
              </w:rPr>
              <w:t xml:space="preserve">.  </w:t>
            </w:r>
          </w:p>
          <w:p w14:paraId="78B5EE2A" w14:textId="3EA5BE84" w:rsidR="00E5037F" w:rsidRPr="006E3A37" w:rsidRDefault="00E5037F" w:rsidP="00E94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767EC760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DF8" w:rsidRPr="00736D82" w14:paraId="6823D690" w14:textId="77777777" w:rsidTr="00197927">
        <w:tc>
          <w:tcPr>
            <w:tcW w:w="1102" w:type="dxa"/>
            <w:shd w:val="clear" w:color="auto" w:fill="auto"/>
          </w:tcPr>
          <w:p w14:paraId="44504964" w14:textId="7FE5C417" w:rsidR="00FB1DF8" w:rsidRDefault="00197927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3D394B08" w14:textId="77777777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 w:rsidRPr="006E3A37">
              <w:rPr>
                <w:sz w:val="22"/>
                <w:szCs w:val="22"/>
              </w:rPr>
              <w:t xml:space="preserve">Assist the </w:t>
            </w:r>
            <w:r w:rsidR="00197927">
              <w:rPr>
                <w:sz w:val="22"/>
                <w:szCs w:val="22"/>
              </w:rPr>
              <w:t>Gold Commander</w:t>
            </w:r>
            <w:r w:rsidRPr="006E3A37">
              <w:rPr>
                <w:sz w:val="22"/>
                <w:szCs w:val="22"/>
              </w:rPr>
              <w:t xml:space="preserve"> with </w:t>
            </w:r>
            <w:r w:rsidR="00197927">
              <w:rPr>
                <w:sz w:val="22"/>
                <w:szCs w:val="22"/>
              </w:rPr>
              <w:t>the collection of situation reports from Silver Commands before Gold Command takes place – see sitrep template in appendix below.</w:t>
            </w:r>
          </w:p>
          <w:p w14:paraId="571C67C2" w14:textId="1B9EFC14" w:rsidR="00E5037F" w:rsidRPr="006E3A37" w:rsidRDefault="00E5037F" w:rsidP="00E94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77C55391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DF8" w:rsidRPr="00736D82" w14:paraId="714235BE" w14:textId="77777777" w:rsidTr="00197927">
        <w:tc>
          <w:tcPr>
            <w:tcW w:w="1102" w:type="dxa"/>
            <w:shd w:val="clear" w:color="auto" w:fill="auto"/>
          </w:tcPr>
          <w:p w14:paraId="41EB39F0" w14:textId="500B21AF" w:rsidR="00FB1DF8" w:rsidRPr="00736D82" w:rsidRDefault="004C2FD5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79" w:type="dxa"/>
            <w:gridSpan w:val="2"/>
            <w:shd w:val="clear" w:color="auto" w:fill="auto"/>
          </w:tcPr>
          <w:p w14:paraId="55F6EC1F" w14:textId="77777777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 w:rsidRPr="00736D82">
              <w:rPr>
                <w:sz w:val="22"/>
                <w:szCs w:val="22"/>
              </w:rPr>
              <w:t xml:space="preserve">Ensure </w:t>
            </w:r>
            <w:r>
              <w:rPr>
                <w:sz w:val="22"/>
                <w:szCs w:val="22"/>
              </w:rPr>
              <w:t xml:space="preserve">Silver Commands are aware of Sitrep Submission timetable and any other deadlines.   </w:t>
            </w:r>
          </w:p>
          <w:p w14:paraId="781A8E0A" w14:textId="5A003B7C" w:rsidR="00E5037F" w:rsidRPr="00736D82" w:rsidRDefault="00E5037F" w:rsidP="00E94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2DC81E61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04569A" w14:textId="77777777" w:rsidR="00FB1DF8" w:rsidRDefault="00FB1DF8" w:rsidP="00FB1DF8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FB1DF8" w:rsidSect="00AC65A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C65A7"/>
    <w:rsid w:val="00AD4C4C"/>
    <w:rsid w:val="00AE24AC"/>
    <w:rsid w:val="00AE6127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2023-09-28T13:29:00Z</dcterms:created>
  <dcterms:modified xsi:type="dcterms:W3CDTF">2023-09-28T14:03:00Z</dcterms:modified>
</cp:coreProperties>
</file>