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24C5" w14:textId="64A22E20" w:rsidR="007B0E67" w:rsidRDefault="007B0E67" w:rsidP="006D008F">
      <w:pPr>
        <w:rPr>
          <w:lang w:eastAsia="en-GB" w:bidi="en-US"/>
        </w:rPr>
      </w:pPr>
    </w:p>
    <w:p w14:paraId="531B7307" w14:textId="3729008D" w:rsidR="007B0E67" w:rsidRDefault="007B0E67" w:rsidP="00B34024">
      <w:pPr>
        <w:pStyle w:val="Heading2"/>
        <w:rPr>
          <w:lang w:eastAsia="en-GB" w:bidi="en-US"/>
        </w:rPr>
      </w:pPr>
      <w:bookmarkStart w:id="0" w:name="_Toc128039420"/>
      <w:r w:rsidRPr="00D30339">
        <w:rPr>
          <w:lang w:eastAsia="en-GB" w:bidi="en-US"/>
        </w:rPr>
        <w:t>Guidance for Use and Storage of Thickening Agent</w:t>
      </w:r>
      <w:bookmarkEnd w:id="0"/>
    </w:p>
    <w:p w14:paraId="0E119205" w14:textId="4DE52207" w:rsidR="007B0E67" w:rsidRDefault="007B0E67" w:rsidP="006D008F">
      <w:pPr>
        <w:rPr>
          <w:lang w:eastAsia="en-GB" w:bidi="en-US"/>
        </w:rPr>
      </w:pPr>
    </w:p>
    <w:p w14:paraId="46263F20" w14:textId="77777777" w:rsidR="00D30339" w:rsidRPr="00406E14" w:rsidRDefault="00D30339" w:rsidP="00D30339">
      <w:pPr>
        <w:rPr>
          <w:rFonts w:eastAsia="Times New Roman" w:cs="Arial"/>
          <w:b/>
          <w:sz w:val="32"/>
          <w:szCs w:val="32"/>
          <w:lang w:eastAsia="en-GB"/>
        </w:rPr>
      </w:pPr>
      <w:r w:rsidRPr="00406E14">
        <w:rPr>
          <w:rFonts w:eastAsia="Times New Roman" w:cs="Arial"/>
          <w:b/>
          <w:sz w:val="32"/>
          <w:szCs w:val="32"/>
          <w:lang w:eastAsia="en-GB"/>
        </w:rPr>
        <w:t>Guidance for Use and Storage of Thickening Agent</w:t>
      </w:r>
    </w:p>
    <w:p w14:paraId="44508505" w14:textId="77777777" w:rsidR="00D30339" w:rsidRPr="006C4E29" w:rsidRDefault="00D30339" w:rsidP="00D30339">
      <w:pPr>
        <w:rPr>
          <w:rFonts w:eastAsia="Times New Roman" w:cs="Arial"/>
          <w:b/>
          <w:szCs w:val="24"/>
          <w:u w:val="single"/>
          <w:lang w:eastAsia="en-GB"/>
        </w:rPr>
      </w:pPr>
    </w:p>
    <w:p w14:paraId="600BEBDA" w14:textId="77777777" w:rsidR="00D30339" w:rsidRPr="006C4E29" w:rsidRDefault="00D30339" w:rsidP="00D30339">
      <w:pPr>
        <w:pBdr>
          <w:top w:val="single" w:sz="4" w:space="1" w:color="000000"/>
          <w:left w:val="single" w:sz="4" w:space="4" w:color="000000"/>
          <w:bottom w:val="single" w:sz="4" w:space="1" w:color="000000"/>
          <w:right w:val="single" w:sz="4" w:space="4" w:color="000000"/>
        </w:pBdr>
        <w:rPr>
          <w:rFonts w:cs="Arial"/>
        </w:rPr>
      </w:pPr>
      <w:r w:rsidRPr="006C4E29">
        <w:rPr>
          <w:rFonts w:eastAsia="Times New Roman" w:cs="Arial"/>
          <w:b/>
          <w:sz w:val="32"/>
          <w:szCs w:val="32"/>
          <w:lang w:eastAsia="en-GB"/>
        </w:rPr>
        <w:t>Process:      Use and Storage of Thickening Agent</w:t>
      </w:r>
    </w:p>
    <w:p w14:paraId="4463FEA2" w14:textId="77777777" w:rsidR="00D30339" w:rsidRPr="006C4E29" w:rsidRDefault="00D30339" w:rsidP="00D30339">
      <w:pPr>
        <w:rPr>
          <w:rFonts w:eastAsia="Times New Roman" w:cs="Arial"/>
          <w:szCs w:val="24"/>
          <w:lang w:eastAsia="en-GB"/>
        </w:rPr>
      </w:pPr>
    </w:p>
    <w:p w14:paraId="4B2C7108" w14:textId="77777777" w:rsidR="00D30339" w:rsidRPr="006C4E29" w:rsidRDefault="00D30339" w:rsidP="00D30339">
      <w:pPr>
        <w:rPr>
          <w:rFonts w:eastAsia="Times New Roman" w:cs="Arial"/>
          <w:szCs w:val="24"/>
          <w:lang w:eastAsia="en-GB"/>
        </w:rPr>
      </w:pPr>
      <w:r w:rsidRPr="006C4E29">
        <w:rPr>
          <w:rFonts w:eastAsia="Times New Roman" w:cs="Arial"/>
          <w:szCs w:val="24"/>
          <w:lang w:eastAsia="en-GB"/>
        </w:rPr>
        <w:t>Author:</w:t>
      </w:r>
      <w:r>
        <w:rPr>
          <w:rFonts w:eastAsia="Times New Roman" w:cs="Arial"/>
          <w:szCs w:val="24"/>
          <w:lang w:eastAsia="en-GB"/>
        </w:rPr>
        <w:t xml:space="preserve"> </w:t>
      </w:r>
      <w:r w:rsidRPr="006C4E29">
        <w:rPr>
          <w:rFonts w:eastAsia="Times New Roman" w:cs="Arial"/>
          <w:szCs w:val="24"/>
          <w:lang w:eastAsia="en-GB"/>
        </w:rPr>
        <w:t xml:space="preserve"> Adapted from DBHFT SOP (Stephanie Long/Simon Smith/ Sheila Maye) by Nina Brookman    </w:t>
      </w:r>
      <w:r w:rsidRPr="006C4E29">
        <w:rPr>
          <w:rFonts w:eastAsia="Times New Roman" w:cs="Arial"/>
          <w:szCs w:val="24"/>
          <w:lang w:eastAsia="en-GB"/>
        </w:rPr>
        <w:tab/>
      </w:r>
      <w:r w:rsidRPr="006C4E29">
        <w:rPr>
          <w:rFonts w:eastAsia="Times New Roman" w:cs="Arial"/>
          <w:szCs w:val="24"/>
          <w:lang w:eastAsia="en-GB"/>
        </w:rPr>
        <w:tab/>
      </w:r>
      <w:r w:rsidRPr="006C4E29">
        <w:rPr>
          <w:rFonts w:eastAsia="Times New Roman" w:cs="Arial"/>
          <w:szCs w:val="24"/>
          <w:lang w:eastAsia="en-GB"/>
        </w:rPr>
        <w:tab/>
      </w:r>
      <w:r w:rsidRPr="006C4E29">
        <w:rPr>
          <w:rFonts w:eastAsia="Times New Roman" w:cs="Arial"/>
          <w:szCs w:val="24"/>
          <w:lang w:eastAsia="en-GB"/>
        </w:rPr>
        <w:tab/>
      </w:r>
      <w:r w:rsidRPr="006C4E29">
        <w:rPr>
          <w:rFonts w:eastAsia="Times New Roman" w:cs="Arial"/>
          <w:szCs w:val="24"/>
          <w:lang w:eastAsia="en-GB"/>
        </w:rPr>
        <w:tab/>
        <w:t>Version: 1</w:t>
      </w:r>
    </w:p>
    <w:p w14:paraId="02F91421" w14:textId="77777777" w:rsidR="00D30339" w:rsidRPr="006C4E29" w:rsidRDefault="00D30339" w:rsidP="00D30339">
      <w:pPr>
        <w:rPr>
          <w:rFonts w:eastAsia="Times New Roman" w:cs="Arial"/>
          <w:szCs w:val="24"/>
          <w:lang w:eastAsia="en-GB"/>
        </w:rPr>
      </w:pPr>
      <w:r w:rsidRPr="006C4E29">
        <w:rPr>
          <w:rFonts w:eastAsia="Times New Roman" w:cs="Arial"/>
          <w:szCs w:val="24"/>
          <w:lang w:eastAsia="en-GB"/>
        </w:rPr>
        <w:t xml:space="preserve">Date issued: </w:t>
      </w:r>
      <w:r w:rsidRPr="006C4E29">
        <w:rPr>
          <w:rFonts w:eastAsia="Times New Roman" w:cs="Arial"/>
          <w:szCs w:val="24"/>
          <w:lang w:eastAsia="en-GB"/>
        </w:rPr>
        <w:tab/>
        <w:t>19/11/2015</w:t>
      </w:r>
      <w:r w:rsidRPr="006C4E29">
        <w:rPr>
          <w:rFonts w:eastAsia="Times New Roman" w:cs="Arial"/>
          <w:szCs w:val="24"/>
          <w:lang w:eastAsia="en-GB"/>
        </w:rPr>
        <w:tab/>
      </w:r>
      <w:r w:rsidRPr="006C4E29">
        <w:rPr>
          <w:rFonts w:eastAsia="Times New Roman" w:cs="Arial"/>
          <w:szCs w:val="24"/>
          <w:lang w:eastAsia="en-GB"/>
        </w:rPr>
        <w:tab/>
      </w:r>
      <w:r w:rsidRPr="006C4E29">
        <w:rPr>
          <w:rFonts w:eastAsia="Times New Roman" w:cs="Arial"/>
          <w:szCs w:val="24"/>
          <w:lang w:eastAsia="en-GB"/>
        </w:rPr>
        <w:tab/>
      </w:r>
      <w:r w:rsidRPr="006C4E29">
        <w:rPr>
          <w:rFonts w:eastAsia="Times New Roman" w:cs="Arial"/>
          <w:szCs w:val="24"/>
          <w:lang w:eastAsia="en-GB"/>
        </w:rPr>
        <w:tab/>
      </w:r>
      <w:r w:rsidRPr="006C4E29">
        <w:rPr>
          <w:rFonts w:eastAsia="Times New Roman" w:cs="Arial"/>
          <w:szCs w:val="24"/>
          <w:lang w:eastAsia="en-GB"/>
        </w:rPr>
        <w:tab/>
      </w:r>
    </w:p>
    <w:p w14:paraId="2885EFC2" w14:textId="77777777" w:rsidR="00D30339" w:rsidRPr="006C4E29" w:rsidRDefault="00D30339" w:rsidP="00D30339">
      <w:pPr>
        <w:rPr>
          <w:rFonts w:eastAsia="Times New Roman" w:cs="Arial"/>
          <w:szCs w:val="24"/>
          <w:lang w:eastAsia="en-GB"/>
        </w:rPr>
      </w:pPr>
    </w:p>
    <w:tbl>
      <w:tblPr>
        <w:tblW w:w="10031" w:type="dxa"/>
        <w:tblInd w:w="-747" w:type="dxa"/>
        <w:tblCellMar>
          <w:left w:w="10" w:type="dxa"/>
          <w:right w:w="10" w:type="dxa"/>
        </w:tblCellMar>
        <w:tblLook w:val="0000" w:firstRow="0" w:lastRow="0" w:firstColumn="0" w:lastColumn="0" w:noHBand="0" w:noVBand="0"/>
      </w:tblPr>
      <w:tblGrid>
        <w:gridCol w:w="468"/>
        <w:gridCol w:w="3600"/>
        <w:gridCol w:w="5963"/>
      </w:tblGrid>
      <w:tr w:rsidR="00D30339" w:rsidRPr="006C4E29" w14:paraId="142E7148" w14:textId="77777777" w:rsidTr="00D2517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BC10B" w14:textId="77777777" w:rsidR="00D30339" w:rsidRPr="006C4E29" w:rsidRDefault="00D30339" w:rsidP="00D25175">
            <w:pPr>
              <w:rPr>
                <w:rFonts w:eastAsia="Times New Roman" w:cs="Arial"/>
                <w:szCs w:val="24"/>
                <w:lang w:eastAsia="en-G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8C21"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Risks identified with performing this SOP</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8C41"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Countermeasure</w:t>
            </w:r>
          </w:p>
        </w:tc>
      </w:tr>
      <w:tr w:rsidR="00D30339" w:rsidRPr="006C4E29" w14:paraId="12FBD6B4" w14:textId="77777777" w:rsidTr="00D2517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C9E90"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BD81F" w14:textId="77777777" w:rsidR="00D30339" w:rsidRPr="006C4E29" w:rsidRDefault="00D30339" w:rsidP="00D25175">
            <w:pPr>
              <w:rPr>
                <w:rFonts w:eastAsia="Times New Roman" w:cs="Arial"/>
                <w:b/>
                <w:color w:val="000000"/>
                <w:szCs w:val="24"/>
                <w:lang w:eastAsia="en-GB"/>
              </w:rPr>
            </w:pPr>
            <w:r w:rsidRPr="006C4E29">
              <w:rPr>
                <w:rFonts w:eastAsia="Times New Roman" w:cs="Arial"/>
                <w:b/>
                <w:color w:val="000000"/>
                <w:szCs w:val="24"/>
                <w:lang w:eastAsia="en-GB"/>
              </w:rPr>
              <w:t>Daily establishments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06FC"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Follow this Guidance</w:t>
            </w:r>
          </w:p>
        </w:tc>
      </w:tr>
      <w:tr w:rsidR="00D30339" w:rsidRPr="006C4E29" w14:paraId="3D79383E" w14:textId="77777777" w:rsidTr="00D2517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8731B"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CA18" w14:textId="77777777" w:rsidR="00D30339" w:rsidRPr="006C4E29" w:rsidRDefault="00D30339" w:rsidP="00D25175">
            <w:pPr>
              <w:rPr>
                <w:rFonts w:eastAsia="Times New Roman" w:cs="Arial"/>
                <w:b/>
                <w:color w:val="000000"/>
                <w:szCs w:val="24"/>
                <w:lang w:eastAsia="en-GB"/>
              </w:rPr>
            </w:pPr>
            <w:r w:rsidRPr="006C4E29">
              <w:rPr>
                <w:rFonts w:eastAsia="Times New Roman" w:cs="Arial"/>
                <w:b/>
                <w:color w:val="000000"/>
                <w:szCs w:val="24"/>
                <w:lang w:eastAsia="en-GB"/>
              </w:rPr>
              <w:t>Bank/agency/new starters to centre</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DB27"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Follow this Guidance</w:t>
            </w:r>
          </w:p>
        </w:tc>
      </w:tr>
    </w:tbl>
    <w:p w14:paraId="6E6F6A87" w14:textId="77777777" w:rsidR="00D30339" w:rsidRPr="006C4E29" w:rsidRDefault="00D30339" w:rsidP="00D30339">
      <w:pPr>
        <w:rPr>
          <w:rFonts w:eastAsia="Times New Roman" w:cs="Arial"/>
          <w:szCs w:val="24"/>
          <w:lang w:eastAsia="en-GB"/>
        </w:rPr>
      </w:pPr>
    </w:p>
    <w:tbl>
      <w:tblPr>
        <w:tblW w:w="10031" w:type="dxa"/>
        <w:tblInd w:w="-747" w:type="dxa"/>
        <w:tblCellMar>
          <w:left w:w="10" w:type="dxa"/>
          <w:right w:w="10" w:type="dxa"/>
        </w:tblCellMar>
        <w:tblLook w:val="0000" w:firstRow="0" w:lastRow="0" w:firstColumn="0" w:lastColumn="0" w:noHBand="0" w:noVBand="0"/>
      </w:tblPr>
      <w:tblGrid>
        <w:gridCol w:w="10031"/>
      </w:tblGrid>
      <w:tr w:rsidR="00D30339" w:rsidRPr="006C4E29" w14:paraId="6337C128" w14:textId="77777777" w:rsidTr="00D25175">
        <w:tc>
          <w:tcPr>
            <w:tcW w:w="10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6AC3D"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The purpose of this Guidance is to provide a structured guide for the individual who is responsible for the administration and safe storage of thickening agent. The Guidance is relevant to all RDaSH clinical areas where drinks are provided i.e. inpatient wards, Evergreen Day Services.</w:t>
            </w:r>
          </w:p>
          <w:p w14:paraId="6F1A68EA" w14:textId="77777777" w:rsidR="00D30339" w:rsidRPr="006C4E29" w:rsidRDefault="00D30339" w:rsidP="00D25175">
            <w:pPr>
              <w:rPr>
                <w:rFonts w:eastAsia="Times New Roman" w:cs="Arial"/>
                <w:szCs w:val="24"/>
                <w:lang w:eastAsia="en-GB"/>
              </w:rPr>
            </w:pPr>
          </w:p>
        </w:tc>
      </w:tr>
      <w:tr w:rsidR="00D30339" w:rsidRPr="006C4E29" w14:paraId="3154EC80" w14:textId="77777777" w:rsidTr="00D25175">
        <w:tc>
          <w:tcPr>
            <w:tcW w:w="10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07F3"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List of people who may be involved in this Guidance: Nursing staff, therapy staff, service staff, visitors, patients</w:t>
            </w:r>
          </w:p>
          <w:p w14:paraId="4F0FEF1C" w14:textId="77777777" w:rsidR="00D30339" w:rsidRPr="006C4E29" w:rsidRDefault="00D30339" w:rsidP="00D25175">
            <w:pPr>
              <w:rPr>
                <w:rFonts w:eastAsia="Times New Roman" w:cs="Arial"/>
                <w:szCs w:val="24"/>
                <w:lang w:eastAsia="en-GB"/>
              </w:rPr>
            </w:pPr>
          </w:p>
        </w:tc>
      </w:tr>
      <w:tr w:rsidR="00D30339" w:rsidRPr="006C4E29" w14:paraId="35DC518D" w14:textId="77777777" w:rsidTr="00D25175">
        <w:tc>
          <w:tcPr>
            <w:tcW w:w="10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1B07C" w14:textId="77777777" w:rsidR="00D30339" w:rsidRPr="006C4E29" w:rsidRDefault="00D30339" w:rsidP="00D25175">
            <w:pPr>
              <w:rPr>
                <w:rFonts w:eastAsia="Times New Roman" w:cs="Arial"/>
                <w:szCs w:val="24"/>
                <w:lang w:eastAsia="en-GB"/>
              </w:rPr>
            </w:pPr>
          </w:p>
        </w:tc>
      </w:tr>
    </w:tbl>
    <w:p w14:paraId="60315328" w14:textId="77777777" w:rsidR="00D30339" w:rsidRPr="006C4E29" w:rsidRDefault="00D30339" w:rsidP="00D30339">
      <w:pPr>
        <w:rPr>
          <w:rFonts w:eastAsia="Times New Roman" w:cs="Arial"/>
          <w:szCs w:val="24"/>
          <w:lang w:eastAsia="en-GB"/>
        </w:rPr>
      </w:pPr>
    </w:p>
    <w:tbl>
      <w:tblPr>
        <w:tblW w:w="10031" w:type="dxa"/>
        <w:tblInd w:w="-747" w:type="dxa"/>
        <w:tblCellMar>
          <w:left w:w="10" w:type="dxa"/>
          <w:right w:w="10" w:type="dxa"/>
        </w:tblCellMar>
        <w:tblLook w:val="0000" w:firstRow="0" w:lastRow="0" w:firstColumn="0" w:lastColumn="0" w:noHBand="0" w:noVBand="0"/>
      </w:tblPr>
      <w:tblGrid>
        <w:gridCol w:w="7308"/>
        <w:gridCol w:w="2723"/>
      </w:tblGrid>
      <w:tr w:rsidR="00D30339" w:rsidRPr="006C4E29" w14:paraId="3D755B57" w14:textId="77777777" w:rsidTr="00D25175">
        <w:trPr>
          <w:tblHeader/>
        </w:trPr>
        <w:tc>
          <w:tcPr>
            <w:tcW w:w="73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500391" w14:textId="77777777" w:rsidR="00D30339" w:rsidRPr="006C4E29" w:rsidRDefault="00D30339" w:rsidP="00D25175">
            <w:pPr>
              <w:rPr>
                <w:rFonts w:eastAsia="Times New Roman" w:cs="Arial"/>
                <w:b/>
                <w:szCs w:val="24"/>
                <w:lang w:eastAsia="en-GB"/>
              </w:rPr>
            </w:pPr>
            <w:r w:rsidRPr="006C4E29">
              <w:rPr>
                <w:rFonts w:eastAsia="Times New Roman" w:cs="Arial"/>
                <w:b/>
                <w:szCs w:val="24"/>
                <w:lang w:eastAsia="en-GB"/>
              </w:rPr>
              <w:t>Instruction</w:t>
            </w:r>
          </w:p>
        </w:tc>
        <w:tc>
          <w:tcPr>
            <w:tcW w:w="27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A5A9F2" w14:textId="77777777" w:rsidR="00D30339" w:rsidRPr="006C4E29" w:rsidRDefault="00D30339" w:rsidP="00D25175">
            <w:pPr>
              <w:rPr>
                <w:rFonts w:cs="Arial"/>
              </w:rPr>
            </w:pPr>
            <w:r w:rsidRPr="006C4E29">
              <w:rPr>
                <w:rFonts w:eastAsia="Times New Roman" w:cs="Arial"/>
                <w:b/>
                <w:szCs w:val="24"/>
                <w:lang w:eastAsia="en-GB"/>
              </w:rPr>
              <w:t>Responsible</w:t>
            </w:r>
          </w:p>
        </w:tc>
      </w:tr>
      <w:tr w:rsidR="00D30339" w:rsidRPr="006C4E29" w14:paraId="4705312C" w14:textId="77777777" w:rsidTr="00D25175">
        <w:trPr>
          <w:trHeight w:val="417"/>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FBCF"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Thickening agent should be stored in the ward kitchen, practice kitchen, on the drinks trolley or patient’s bedside lockers. Whilst being stored it should be out of reach of patients unless they have been assessed as a</w:t>
            </w:r>
            <w:r>
              <w:rPr>
                <w:rFonts w:eastAsia="Times New Roman" w:cs="Arial"/>
                <w:szCs w:val="24"/>
                <w:lang w:eastAsia="en-GB"/>
              </w:rPr>
              <w:t>ble to thicken their own drinks.</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20EC" w14:textId="77777777" w:rsidR="00D30339" w:rsidRPr="006C4E29" w:rsidRDefault="00D30339" w:rsidP="00D25175">
            <w:pPr>
              <w:rPr>
                <w:rFonts w:eastAsia="Times New Roman" w:cs="Arial"/>
                <w:szCs w:val="24"/>
                <w:lang w:eastAsia="en-GB"/>
              </w:rPr>
            </w:pPr>
          </w:p>
          <w:p w14:paraId="61E5C6B6"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 xml:space="preserve">All staff </w:t>
            </w:r>
          </w:p>
        </w:tc>
      </w:tr>
      <w:tr w:rsidR="00D30339" w:rsidRPr="006C4E29" w14:paraId="373828B0" w14:textId="77777777" w:rsidTr="00D25175">
        <w:trPr>
          <w:trHeight w:val="417"/>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C44E5" w14:textId="77777777" w:rsidR="00D30339" w:rsidRPr="006C4E29" w:rsidRDefault="00D30339" w:rsidP="00D25175">
            <w:pPr>
              <w:rPr>
                <w:rFonts w:cs="Arial"/>
              </w:rPr>
            </w:pPr>
            <w:r w:rsidRPr="006C4E29">
              <w:rPr>
                <w:rFonts w:eastAsia="Times New Roman" w:cs="Arial"/>
                <w:szCs w:val="24"/>
                <w:lang w:eastAsia="en-GB"/>
              </w:rPr>
              <w:t>After thickening a patient’s drink return the thickening agent to the ward kitchen, practice kitchen, drinks trolley or patient’s bedside locker as per risk assessment</w:t>
            </w:r>
            <w:r>
              <w:rPr>
                <w:rFonts w:eastAsia="Times New Roman" w:cs="Arial"/>
                <w:szCs w:val="24"/>
                <w:lang w:eastAsia="en-GB"/>
              </w:rPr>
              <w:t>.</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CBD8"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All staff</w:t>
            </w:r>
          </w:p>
        </w:tc>
      </w:tr>
      <w:tr w:rsidR="00D30339" w:rsidRPr="006C4E29" w14:paraId="0797118D" w14:textId="77777777" w:rsidTr="00D25175">
        <w:tc>
          <w:tcPr>
            <w:tcW w:w="7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DAE4D"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After opening, thickening agent should be used within 2 months and should be labelled with the date opened and the date it should be used by.</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46296"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All staff</w:t>
            </w:r>
          </w:p>
        </w:tc>
      </w:tr>
      <w:tr w:rsidR="00D30339" w:rsidRPr="006C4E29" w14:paraId="251EA79E" w14:textId="77777777" w:rsidTr="00D25175">
        <w:tc>
          <w:tcPr>
            <w:tcW w:w="7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91362"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A Speech and Language Therapist (S</w:t>
            </w:r>
            <w:r>
              <w:rPr>
                <w:rFonts w:eastAsia="Times New Roman" w:cs="Arial"/>
                <w:szCs w:val="24"/>
                <w:lang w:eastAsia="en-GB"/>
              </w:rPr>
              <w:t>A</w:t>
            </w:r>
            <w:r w:rsidRPr="006C4E29">
              <w:rPr>
                <w:rFonts w:eastAsia="Times New Roman" w:cs="Arial"/>
                <w:szCs w:val="24"/>
                <w:lang w:eastAsia="en-GB"/>
              </w:rPr>
              <w:t>LT) or dysphagia qualified practitioner should assess if a patient is competent to thicken their own drinks. This decision should be documented in the patient’s care plan and on the sign above their bed</w:t>
            </w:r>
            <w:r>
              <w:rPr>
                <w:rFonts w:eastAsia="Times New Roman" w:cs="Arial"/>
                <w:szCs w:val="24"/>
                <w:lang w:eastAsia="en-GB"/>
              </w:rPr>
              <w:t>.</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9632E"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S</w:t>
            </w:r>
            <w:r>
              <w:rPr>
                <w:rFonts w:eastAsia="Times New Roman" w:cs="Arial"/>
                <w:szCs w:val="24"/>
                <w:lang w:eastAsia="en-GB"/>
              </w:rPr>
              <w:t>A</w:t>
            </w:r>
            <w:r w:rsidRPr="006C4E29">
              <w:rPr>
                <w:rFonts w:eastAsia="Times New Roman" w:cs="Arial"/>
                <w:szCs w:val="24"/>
                <w:lang w:eastAsia="en-GB"/>
              </w:rPr>
              <w:t xml:space="preserve">LT or Dysphagia trained practitioner. </w:t>
            </w:r>
          </w:p>
        </w:tc>
      </w:tr>
      <w:tr w:rsidR="00D30339" w:rsidRPr="006C4E29" w14:paraId="60A6F7F1" w14:textId="77777777" w:rsidTr="00D25175">
        <w:tc>
          <w:tcPr>
            <w:tcW w:w="7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10BF3" w14:textId="77777777" w:rsidR="00D30339" w:rsidRPr="006C4E29" w:rsidRDefault="00D30339" w:rsidP="00D25175">
            <w:pPr>
              <w:rPr>
                <w:rFonts w:cs="Arial"/>
              </w:rPr>
            </w:pPr>
            <w:r w:rsidRPr="006C4E29">
              <w:rPr>
                <w:rFonts w:eastAsia="Times New Roman" w:cs="Arial"/>
                <w:szCs w:val="24"/>
                <w:lang w:eastAsia="en-GB"/>
              </w:rPr>
              <w:t>All patients should be made aware of the risks of consuming thickening agent if not added to drinks. A patient must be assessed as</w:t>
            </w:r>
            <w:r w:rsidRPr="006C4E29">
              <w:rPr>
                <w:rFonts w:eastAsia="Times New Roman" w:cs="Arial"/>
                <w:i/>
                <w:color w:val="FF0000"/>
                <w:szCs w:val="24"/>
                <w:lang w:eastAsia="en-GB"/>
              </w:rPr>
              <w:t xml:space="preserve"> </w:t>
            </w:r>
            <w:r w:rsidRPr="006C4E29">
              <w:rPr>
                <w:rFonts w:eastAsia="Times New Roman" w:cs="Arial"/>
                <w:szCs w:val="24"/>
                <w:lang w:eastAsia="en-GB"/>
              </w:rPr>
              <w:t xml:space="preserve">competent to thicken their own drinks prior to self-management. This should be documented in their care plan. </w:t>
            </w:r>
          </w:p>
          <w:p w14:paraId="3D0441EB"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 xml:space="preserve">The patient should be made aware of the risk to other patients if thickening agent is left within reach of other patients.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1A9A3"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S</w:t>
            </w:r>
            <w:r>
              <w:rPr>
                <w:rFonts w:eastAsia="Times New Roman" w:cs="Arial"/>
                <w:szCs w:val="24"/>
                <w:lang w:eastAsia="en-GB"/>
              </w:rPr>
              <w:t>A</w:t>
            </w:r>
            <w:r w:rsidRPr="006C4E29">
              <w:rPr>
                <w:rFonts w:eastAsia="Times New Roman" w:cs="Arial"/>
                <w:szCs w:val="24"/>
                <w:lang w:eastAsia="en-GB"/>
              </w:rPr>
              <w:t>LT, Nurse, Dysphagia Trained Practitioner, Ward Manager.</w:t>
            </w:r>
          </w:p>
          <w:p w14:paraId="28B5C72E"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 xml:space="preserve"> </w:t>
            </w:r>
          </w:p>
        </w:tc>
      </w:tr>
      <w:tr w:rsidR="00D30339" w:rsidRPr="006C4E29" w14:paraId="2D0FF3B5" w14:textId="77777777" w:rsidTr="00D25175">
        <w:tc>
          <w:tcPr>
            <w:tcW w:w="7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2B64A" w14:textId="77777777" w:rsidR="00D30339" w:rsidRPr="00987A8F" w:rsidRDefault="00D30339" w:rsidP="00D25175">
            <w:pPr>
              <w:rPr>
                <w:rFonts w:eastAsia="Times New Roman" w:cs="Arial"/>
                <w:szCs w:val="24"/>
                <w:lang w:eastAsia="en-GB"/>
              </w:rPr>
            </w:pPr>
            <w:r w:rsidRPr="006C4E29">
              <w:rPr>
                <w:rFonts w:eastAsia="Times New Roman" w:cs="Arial"/>
                <w:szCs w:val="24"/>
                <w:lang w:eastAsia="en-GB"/>
              </w:rPr>
              <w:lastRenderedPageBreak/>
              <w:t xml:space="preserve">All staff need to be aware of the NHS England National Safety Alert relating to ingestion of thickening powder and be aware of the risks of consuming thickening agent if not mixed with a drink </w:t>
            </w:r>
            <w:hyperlink r:id="rId8" w:history="1">
              <w:r w:rsidRPr="003112DC">
                <w:rPr>
                  <w:rStyle w:val="Hyperlink"/>
                  <w:rFonts w:eastAsia="Times New Roman" w:cs="Arial"/>
                  <w:szCs w:val="24"/>
                  <w:lang w:eastAsia="en-GB"/>
                </w:rPr>
                <w:t>https://www.england.nhs.uk/2015/02/06/psa-fluidfood-thickening-powder/</w:t>
              </w:r>
            </w:hyperlink>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7F147"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All staff</w:t>
            </w:r>
          </w:p>
        </w:tc>
      </w:tr>
      <w:tr w:rsidR="00D30339" w:rsidRPr="006C4E29" w14:paraId="5A0E129F" w14:textId="77777777" w:rsidTr="00D25175">
        <w:tc>
          <w:tcPr>
            <w:tcW w:w="7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52D99" w14:textId="77777777" w:rsidR="00D30339" w:rsidRPr="006C4E29" w:rsidRDefault="00D30339" w:rsidP="00D25175">
            <w:pPr>
              <w:rPr>
                <w:rFonts w:eastAsia="Times New Roman" w:cs="Arial"/>
                <w:iCs/>
                <w:szCs w:val="24"/>
                <w:lang w:eastAsia="en-GB"/>
              </w:rPr>
            </w:pPr>
            <w:r w:rsidRPr="006C4E29">
              <w:rPr>
                <w:rFonts w:eastAsia="Times New Roman" w:cs="Arial"/>
                <w:iCs/>
                <w:szCs w:val="24"/>
                <w:lang w:eastAsia="en-GB"/>
              </w:rPr>
              <w:t>Ensure the current S</w:t>
            </w:r>
            <w:r>
              <w:rPr>
                <w:rFonts w:eastAsia="Times New Roman" w:cs="Arial"/>
                <w:iCs/>
                <w:szCs w:val="24"/>
                <w:lang w:eastAsia="en-GB"/>
              </w:rPr>
              <w:t>A</w:t>
            </w:r>
            <w:r w:rsidRPr="006C4E29">
              <w:rPr>
                <w:rFonts w:eastAsia="Times New Roman" w:cs="Arial"/>
                <w:iCs/>
                <w:szCs w:val="24"/>
                <w:lang w:eastAsia="en-GB"/>
              </w:rPr>
              <w:t xml:space="preserve">LT recommendations for fluid consistency are in place and up to date prior to use of thickening agent for any patient. </w:t>
            </w:r>
          </w:p>
          <w:p w14:paraId="59B329AC" w14:textId="77777777" w:rsidR="00D30339" w:rsidRPr="006C4E29" w:rsidRDefault="00D30339" w:rsidP="00D25175">
            <w:pPr>
              <w:rPr>
                <w:rFonts w:eastAsia="Times New Roman" w:cs="Arial"/>
                <w:iCs/>
                <w:szCs w:val="24"/>
                <w:lang w:eastAsia="en-GB"/>
              </w:rPr>
            </w:pPr>
          </w:p>
          <w:p w14:paraId="4952A0F9" w14:textId="77777777" w:rsidR="00D30339" w:rsidRPr="006C4E29" w:rsidRDefault="00D30339" w:rsidP="00D25175">
            <w:pPr>
              <w:rPr>
                <w:rFonts w:eastAsia="Times New Roman" w:cs="Arial"/>
                <w:iCs/>
                <w:szCs w:val="24"/>
                <w:lang w:eastAsia="en-GB"/>
              </w:rPr>
            </w:pPr>
            <w:r w:rsidRPr="006C4E29">
              <w:rPr>
                <w:rFonts w:eastAsia="Times New Roman" w:cs="Arial"/>
                <w:iCs/>
                <w:szCs w:val="24"/>
                <w:lang w:eastAsia="en-GB"/>
              </w:rPr>
              <w:t>Refer to S</w:t>
            </w:r>
            <w:r>
              <w:rPr>
                <w:rFonts w:eastAsia="Times New Roman" w:cs="Arial"/>
                <w:iCs/>
                <w:szCs w:val="24"/>
                <w:lang w:eastAsia="en-GB"/>
              </w:rPr>
              <w:t>A</w:t>
            </w:r>
            <w:r w:rsidRPr="006C4E29">
              <w:rPr>
                <w:rFonts w:eastAsia="Times New Roman" w:cs="Arial"/>
                <w:iCs/>
                <w:szCs w:val="24"/>
                <w:lang w:eastAsia="en-GB"/>
              </w:rPr>
              <w:t>LT entry in electric notes system for guidance regarding consistency and quantity of fluid. Refer to instructions on thickening agent tin regarding how to thicken drinks to recommended consistency.</w:t>
            </w:r>
          </w:p>
          <w:p w14:paraId="01F6431B" w14:textId="77777777" w:rsidR="00D30339" w:rsidRPr="006C4E29" w:rsidRDefault="00D30339" w:rsidP="00D25175">
            <w:pPr>
              <w:rPr>
                <w:rFonts w:eastAsia="Times New Roman" w:cs="Arial"/>
                <w:szCs w:val="24"/>
                <w:lang w:eastAsia="en-GB"/>
              </w:rPr>
            </w:pPr>
          </w:p>
          <w:p w14:paraId="5F7923B2" w14:textId="77777777" w:rsidR="00D30339" w:rsidRPr="00987A8F" w:rsidRDefault="00D30339" w:rsidP="00D25175">
            <w:pPr>
              <w:rPr>
                <w:rFonts w:eastAsia="Times New Roman" w:cs="Arial"/>
                <w:szCs w:val="24"/>
                <w:lang w:eastAsia="en-GB"/>
              </w:rPr>
            </w:pPr>
            <w:r w:rsidRPr="006C4E29">
              <w:rPr>
                <w:rFonts w:eastAsia="Times New Roman" w:cs="Arial"/>
                <w:szCs w:val="24"/>
                <w:lang w:eastAsia="en-GB"/>
              </w:rPr>
              <w:t xml:space="preserve">Patients admitted to the ward/day setting who are already using thickener, should continue to follow their current recommendations for thickening fluids unless new concerns arise, in which case </w:t>
            </w:r>
            <w:r>
              <w:rPr>
                <w:rFonts w:eastAsia="Times New Roman" w:cs="Arial"/>
                <w:szCs w:val="24"/>
                <w:lang w:eastAsia="en-GB"/>
              </w:rPr>
              <w:t xml:space="preserve">follow SALT referral processes.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B490B" w14:textId="77777777" w:rsidR="00D30339" w:rsidRPr="006C4E29" w:rsidRDefault="00D30339" w:rsidP="00D25175">
            <w:pPr>
              <w:rPr>
                <w:rFonts w:eastAsia="Times New Roman" w:cs="Arial"/>
                <w:szCs w:val="24"/>
                <w:lang w:eastAsia="en-GB"/>
              </w:rPr>
            </w:pPr>
            <w:r w:rsidRPr="006C4E29">
              <w:rPr>
                <w:rFonts w:eastAsia="Times New Roman" w:cs="Arial"/>
                <w:szCs w:val="24"/>
                <w:lang w:eastAsia="en-GB"/>
              </w:rPr>
              <w:t>Trained staff</w:t>
            </w:r>
          </w:p>
        </w:tc>
      </w:tr>
    </w:tbl>
    <w:p w14:paraId="23A6C30C" w14:textId="0836FD85" w:rsidR="00570C79" w:rsidRPr="006D008F" w:rsidRDefault="00570C79" w:rsidP="00570C79">
      <w:pPr>
        <w:pStyle w:val="Heading2"/>
        <w:rPr>
          <w:lang w:eastAsia="en-GB" w:bidi="en-US"/>
        </w:rPr>
      </w:pPr>
      <w:r w:rsidRPr="006D008F">
        <w:rPr>
          <w:lang w:eastAsia="en-GB" w:bidi="en-US"/>
        </w:rPr>
        <w:t xml:space="preserve"> </w:t>
      </w:r>
    </w:p>
    <w:p w14:paraId="4EA3C786" w14:textId="15E5E5F8" w:rsidR="00827B35" w:rsidRPr="006D008F" w:rsidRDefault="00827B35" w:rsidP="006D008F">
      <w:pPr>
        <w:rPr>
          <w:lang w:eastAsia="en-GB" w:bidi="en-US"/>
        </w:rPr>
      </w:pPr>
    </w:p>
    <w:sectPr w:rsidR="00827B35" w:rsidRPr="006D008F" w:rsidSect="003B5C6A">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1181" w14:textId="77777777" w:rsidR="004D081C" w:rsidRDefault="004D081C" w:rsidP="004F0B9C">
      <w:r>
        <w:separator/>
      </w:r>
    </w:p>
  </w:endnote>
  <w:endnote w:type="continuationSeparator" w:id="0">
    <w:p w14:paraId="6D84E182" w14:textId="77777777" w:rsidR="004D081C" w:rsidRDefault="004D081C" w:rsidP="004F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351820"/>
      <w:docPartObj>
        <w:docPartGallery w:val="Page Numbers (Bottom of Page)"/>
        <w:docPartUnique/>
      </w:docPartObj>
    </w:sdtPr>
    <w:sdtEndPr>
      <w:rPr>
        <w:noProof/>
      </w:rPr>
    </w:sdtEndPr>
    <w:sdtContent>
      <w:p w14:paraId="5CCAAFE1" w14:textId="0C4DD237" w:rsidR="001467A0" w:rsidRDefault="001467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A9E819" w14:textId="79501FD1" w:rsidR="00EE280F" w:rsidRDefault="00EE280F" w:rsidP="00EE28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C62C" w14:textId="77777777" w:rsidR="004D081C" w:rsidRDefault="004D081C" w:rsidP="004F0B9C">
      <w:r>
        <w:separator/>
      </w:r>
    </w:p>
  </w:footnote>
  <w:footnote w:type="continuationSeparator" w:id="0">
    <w:p w14:paraId="705C5CF7" w14:textId="77777777" w:rsidR="004D081C" w:rsidRDefault="004D081C" w:rsidP="004F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283"/>
    <w:multiLevelType w:val="hybridMultilevel"/>
    <w:tmpl w:val="F2DC9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FE3ACC"/>
    <w:multiLevelType w:val="hybridMultilevel"/>
    <w:tmpl w:val="A7A4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A387C"/>
    <w:multiLevelType w:val="hybridMultilevel"/>
    <w:tmpl w:val="62860D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B5F4BCD"/>
    <w:multiLevelType w:val="hybridMultilevel"/>
    <w:tmpl w:val="919C8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E566DD6"/>
    <w:multiLevelType w:val="hybridMultilevel"/>
    <w:tmpl w:val="01A43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526D51"/>
    <w:multiLevelType w:val="hybridMultilevel"/>
    <w:tmpl w:val="21E0DAC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17F54"/>
    <w:multiLevelType w:val="hybridMultilevel"/>
    <w:tmpl w:val="FC8E7746"/>
    <w:lvl w:ilvl="0" w:tplc="2C6EDA4A">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0591C"/>
    <w:multiLevelType w:val="hybridMultilevel"/>
    <w:tmpl w:val="BB2C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72C15"/>
    <w:multiLevelType w:val="hybridMultilevel"/>
    <w:tmpl w:val="D1EE55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2604430"/>
    <w:multiLevelType w:val="hybridMultilevel"/>
    <w:tmpl w:val="3FCA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B01CF"/>
    <w:multiLevelType w:val="hybridMultilevel"/>
    <w:tmpl w:val="24EA7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03DD2"/>
    <w:multiLevelType w:val="hybridMultilevel"/>
    <w:tmpl w:val="9796E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A1A5B"/>
    <w:multiLevelType w:val="hybridMultilevel"/>
    <w:tmpl w:val="7052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352B7"/>
    <w:multiLevelType w:val="hybridMultilevel"/>
    <w:tmpl w:val="DBF85B0C"/>
    <w:lvl w:ilvl="0" w:tplc="14A68B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17369"/>
    <w:multiLevelType w:val="hybridMultilevel"/>
    <w:tmpl w:val="9838360A"/>
    <w:lvl w:ilvl="0" w:tplc="DD34BB9A">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4C8E1A1D"/>
    <w:multiLevelType w:val="hybridMultilevel"/>
    <w:tmpl w:val="E21CDE00"/>
    <w:lvl w:ilvl="0" w:tplc="2E3AEA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8182B"/>
    <w:multiLevelType w:val="hybridMultilevel"/>
    <w:tmpl w:val="FE28DC36"/>
    <w:lvl w:ilvl="0" w:tplc="AC2EFA9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F6F8E"/>
    <w:multiLevelType w:val="hybridMultilevel"/>
    <w:tmpl w:val="EC8A2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67F0C"/>
    <w:multiLevelType w:val="hybridMultilevel"/>
    <w:tmpl w:val="477CC9A6"/>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3BF2C13"/>
    <w:multiLevelType w:val="hybridMultilevel"/>
    <w:tmpl w:val="2EAAAC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7A7774F4"/>
    <w:multiLevelType w:val="hybridMultilevel"/>
    <w:tmpl w:val="43D81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CB50455"/>
    <w:multiLevelType w:val="multilevel"/>
    <w:tmpl w:val="8506AC74"/>
    <w:lvl w:ilvl="0">
      <w:start w:val="1"/>
      <w:numFmt w:val="decimal"/>
      <w:pStyle w:val="MainHeading"/>
      <w:lvlText w:val="%1"/>
      <w:lvlJc w:val="left"/>
      <w:pPr>
        <w:ind w:left="1152" w:hanging="432"/>
      </w:pPr>
    </w:lvl>
    <w:lvl w:ilvl="1">
      <w:start w:val="1"/>
      <w:numFmt w:val="decimal"/>
      <w:lvlText w:val="%1.%2"/>
      <w:lvlJc w:val="left"/>
      <w:pPr>
        <w:ind w:left="1438" w:hanging="576"/>
      </w:pPr>
      <w:rPr>
        <w:sz w:val="24"/>
        <w:szCs w:val="24"/>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2" w15:restartNumberingAfterBreak="0">
    <w:nsid w:val="7DF27E78"/>
    <w:multiLevelType w:val="hybridMultilevel"/>
    <w:tmpl w:val="4D3A3DF6"/>
    <w:lvl w:ilvl="0" w:tplc="14A68B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876002">
    <w:abstractNumId w:val="21"/>
  </w:num>
  <w:num w:numId="2" w16cid:durableId="1656838892">
    <w:abstractNumId w:val="21"/>
  </w:num>
  <w:num w:numId="3" w16cid:durableId="1460800586">
    <w:abstractNumId w:val="21"/>
  </w:num>
  <w:num w:numId="4" w16cid:durableId="471338543">
    <w:abstractNumId w:val="21"/>
  </w:num>
  <w:num w:numId="5" w16cid:durableId="503979174">
    <w:abstractNumId w:val="21"/>
  </w:num>
  <w:num w:numId="6" w16cid:durableId="1364592865">
    <w:abstractNumId w:val="15"/>
  </w:num>
  <w:num w:numId="7" w16cid:durableId="438572944">
    <w:abstractNumId w:val="2"/>
  </w:num>
  <w:num w:numId="8" w16cid:durableId="1893536195">
    <w:abstractNumId w:val="3"/>
  </w:num>
  <w:num w:numId="9" w16cid:durableId="648437973">
    <w:abstractNumId w:val="0"/>
  </w:num>
  <w:num w:numId="10" w16cid:durableId="847983386">
    <w:abstractNumId w:val="4"/>
  </w:num>
  <w:num w:numId="11" w16cid:durableId="711147751">
    <w:abstractNumId w:val="8"/>
  </w:num>
  <w:num w:numId="12" w16cid:durableId="319697946">
    <w:abstractNumId w:val="19"/>
  </w:num>
  <w:num w:numId="13" w16cid:durableId="1439060203">
    <w:abstractNumId w:val="1"/>
  </w:num>
  <w:num w:numId="14" w16cid:durableId="378285340">
    <w:abstractNumId w:val="12"/>
  </w:num>
  <w:num w:numId="15" w16cid:durableId="1282227403">
    <w:abstractNumId w:val="6"/>
  </w:num>
  <w:num w:numId="16" w16cid:durableId="1887403698">
    <w:abstractNumId w:val="22"/>
  </w:num>
  <w:num w:numId="17" w16cid:durableId="1058937317">
    <w:abstractNumId w:val="16"/>
  </w:num>
  <w:num w:numId="18" w16cid:durableId="437911719">
    <w:abstractNumId w:val="13"/>
  </w:num>
  <w:num w:numId="19" w16cid:durableId="1913468041">
    <w:abstractNumId w:val="10"/>
  </w:num>
  <w:num w:numId="20" w16cid:durableId="1672441774">
    <w:abstractNumId w:val="5"/>
  </w:num>
  <w:num w:numId="21" w16cid:durableId="1644505556">
    <w:abstractNumId w:val="18"/>
  </w:num>
  <w:num w:numId="22" w16cid:durableId="368575026">
    <w:abstractNumId w:val="17"/>
  </w:num>
  <w:num w:numId="23" w16cid:durableId="1594582990">
    <w:abstractNumId w:val="7"/>
  </w:num>
  <w:num w:numId="24" w16cid:durableId="125709226">
    <w:abstractNumId w:val="11"/>
  </w:num>
  <w:num w:numId="25" w16cid:durableId="826869557">
    <w:abstractNumId w:val="9"/>
  </w:num>
  <w:num w:numId="26" w16cid:durableId="956906999">
    <w:abstractNumId w:val="14"/>
  </w:num>
  <w:num w:numId="27" w16cid:durableId="14575273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3"/>
    <w:rsid w:val="00027589"/>
    <w:rsid w:val="00041958"/>
    <w:rsid w:val="00051336"/>
    <w:rsid w:val="00065300"/>
    <w:rsid w:val="000726F1"/>
    <w:rsid w:val="000E38DC"/>
    <w:rsid w:val="00107FF1"/>
    <w:rsid w:val="00112FF6"/>
    <w:rsid w:val="0014608D"/>
    <w:rsid w:val="001467A0"/>
    <w:rsid w:val="00146ED7"/>
    <w:rsid w:val="001904C6"/>
    <w:rsid w:val="001B5E64"/>
    <w:rsid w:val="001D401A"/>
    <w:rsid w:val="001E1A14"/>
    <w:rsid w:val="00202A1E"/>
    <w:rsid w:val="0028247B"/>
    <w:rsid w:val="00283CB6"/>
    <w:rsid w:val="002B7FCE"/>
    <w:rsid w:val="002E033F"/>
    <w:rsid w:val="00310812"/>
    <w:rsid w:val="00320B9F"/>
    <w:rsid w:val="00325032"/>
    <w:rsid w:val="003340FE"/>
    <w:rsid w:val="00336B4B"/>
    <w:rsid w:val="00342AD1"/>
    <w:rsid w:val="0035187E"/>
    <w:rsid w:val="003B25F3"/>
    <w:rsid w:val="003B281D"/>
    <w:rsid w:val="003B3B84"/>
    <w:rsid w:val="003B5C6A"/>
    <w:rsid w:val="003F01C0"/>
    <w:rsid w:val="00406E14"/>
    <w:rsid w:val="0041437C"/>
    <w:rsid w:val="004302BD"/>
    <w:rsid w:val="004B4A12"/>
    <w:rsid w:val="004C3012"/>
    <w:rsid w:val="004D081C"/>
    <w:rsid w:val="004D18D7"/>
    <w:rsid w:val="004E4A44"/>
    <w:rsid w:val="004F0B9C"/>
    <w:rsid w:val="005215B0"/>
    <w:rsid w:val="00526D16"/>
    <w:rsid w:val="005467C9"/>
    <w:rsid w:val="0055157C"/>
    <w:rsid w:val="0055581C"/>
    <w:rsid w:val="00570C79"/>
    <w:rsid w:val="0058346C"/>
    <w:rsid w:val="005834B2"/>
    <w:rsid w:val="00586C54"/>
    <w:rsid w:val="005B6F17"/>
    <w:rsid w:val="005D13C7"/>
    <w:rsid w:val="005D39A9"/>
    <w:rsid w:val="005E05A4"/>
    <w:rsid w:val="0062066E"/>
    <w:rsid w:val="0062716C"/>
    <w:rsid w:val="00656DD7"/>
    <w:rsid w:val="006719C7"/>
    <w:rsid w:val="00676A9C"/>
    <w:rsid w:val="00683051"/>
    <w:rsid w:val="006C75DD"/>
    <w:rsid w:val="006D008F"/>
    <w:rsid w:val="006E766B"/>
    <w:rsid w:val="00744E4A"/>
    <w:rsid w:val="00773CB1"/>
    <w:rsid w:val="007B0E67"/>
    <w:rsid w:val="007C2838"/>
    <w:rsid w:val="007C3FBE"/>
    <w:rsid w:val="0080463F"/>
    <w:rsid w:val="00827B35"/>
    <w:rsid w:val="00843874"/>
    <w:rsid w:val="008525C6"/>
    <w:rsid w:val="0086098B"/>
    <w:rsid w:val="00880145"/>
    <w:rsid w:val="008B39FB"/>
    <w:rsid w:val="008C2AFC"/>
    <w:rsid w:val="008F1F95"/>
    <w:rsid w:val="008F6A21"/>
    <w:rsid w:val="009528C4"/>
    <w:rsid w:val="0095616E"/>
    <w:rsid w:val="009965B5"/>
    <w:rsid w:val="009A6201"/>
    <w:rsid w:val="009E6EB1"/>
    <w:rsid w:val="009F44B9"/>
    <w:rsid w:val="00A029C3"/>
    <w:rsid w:val="00A931A9"/>
    <w:rsid w:val="00A97D39"/>
    <w:rsid w:val="00AB42AA"/>
    <w:rsid w:val="00AB7EEA"/>
    <w:rsid w:val="00AE134F"/>
    <w:rsid w:val="00B11EE2"/>
    <w:rsid w:val="00B34024"/>
    <w:rsid w:val="00BC0EF5"/>
    <w:rsid w:val="00BC77C7"/>
    <w:rsid w:val="00BC7E0A"/>
    <w:rsid w:val="00BC7E15"/>
    <w:rsid w:val="00C22BBB"/>
    <w:rsid w:val="00C23C32"/>
    <w:rsid w:val="00C5158A"/>
    <w:rsid w:val="00C7233B"/>
    <w:rsid w:val="00C8091A"/>
    <w:rsid w:val="00C83529"/>
    <w:rsid w:val="00CB3E08"/>
    <w:rsid w:val="00CC0DCF"/>
    <w:rsid w:val="00CC74D5"/>
    <w:rsid w:val="00CD7D12"/>
    <w:rsid w:val="00D054C2"/>
    <w:rsid w:val="00D275D3"/>
    <w:rsid w:val="00D30339"/>
    <w:rsid w:val="00D5381D"/>
    <w:rsid w:val="00D6440E"/>
    <w:rsid w:val="00D75A6F"/>
    <w:rsid w:val="00DB08AC"/>
    <w:rsid w:val="00DB391D"/>
    <w:rsid w:val="00EB61C3"/>
    <w:rsid w:val="00ED650B"/>
    <w:rsid w:val="00ED6B4F"/>
    <w:rsid w:val="00EE280F"/>
    <w:rsid w:val="00EF3337"/>
    <w:rsid w:val="00F131CA"/>
    <w:rsid w:val="00F17C4C"/>
    <w:rsid w:val="00F85E84"/>
    <w:rsid w:val="00FB61D9"/>
    <w:rsid w:val="00FC7990"/>
    <w:rsid w:val="00FF2BEF"/>
    <w:rsid w:val="00FF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382CE"/>
  <w15:chartTrackingRefBased/>
  <w15:docId w15:val="{2D54BD88-73BB-4A36-818E-B1FB24B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8D"/>
    <w:pPr>
      <w:spacing w:after="0" w:line="240" w:lineRule="auto"/>
    </w:pPr>
    <w:rPr>
      <w:rFonts w:cstheme="minorBidi"/>
      <w:szCs w:val="22"/>
    </w:rPr>
  </w:style>
  <w:style w:type="paragraph" w:styleId="Heading1">
    <w:name w:val="heading 1"/>
    <w:basedOn w:val="Normal"/>
    <w:next w:val="Normal"/>
    <w:link w:val="Heading1Char"/>
    <w:uiPriority w:val="9"/>
    <w:rsid w:val="00DB0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 Heading"/>
    <w:basedOn w:val="Normal"/>
    <w:next w:val="Normal"/>
    <w:link w:val="Heading2Char"/>
    <w:uiPriority w:val="9"/>
    <w:unhideWhenUsed/>
    <w:qFormat/>
    <w:rsid w:val="00EB61C3"/>
    <w:pPr>
      <w:keepNext/>
      <w:keepLines/>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EB61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link w:val="MainHeadingChar"/>
    <w:autoRedefine/>
    <w:qFormat/>
    <w:rsid w:val="0014608D"/>
    <w:pPr>
      <w:framePr w:wrap="around" w:vAnchor="text" w:hAnchor="text" w:y="1"/>
      <w:numPr>
        <w:numId w:val="4"/>
      </w:numPr>
      <w:ind w:left="709" w:hanging="709"/>
      <w:outlineLvl w:val="0"/>
    </w:pPr>
    <w:rPr>
      <w:rFonts w:eastAsia="Times New Roman"/>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MainHeadingChar">
    <w:name w:val="Main Heading Char"/>
    <w:basedOn w:val="DefaultParagraphFont"/>
    <w:link w:val="MainHeading"/>
    <w:rsid w:val="0014608D"/>
    <w:rPr>
      <w:rFonts w:eastAsia="Times New Roman" w:cstheme="minorBidi"/>
      <w:b/>
      <w:bCs/>
      <w:color w:val="000000" w:themeColor="text1"/>
      <w:spacing w:val="15"/>
      <w:sz w:val="28"/>
      <w:szCs w:val="28"/>
      <w:lang w:eastAsia="en-GB" w:bidi="en-US"/>
      <w14:shadow w14:blurRad="50800" w14:dist="50800" w14:dir="5400000" w14:sx="0" w14:sy="0" w14:kx="0" w14:ky="0" w14:algn="ctr">
        <w14:schemeClr w14:val="tx1"/>
      </w14:shadow>
    </w:rPr>
  </w:style>
  <w:style w:type="character" w:customStyle="1" w:styleId="Heading4Char">
    <w:name w:val="Heading 4 Char"/>
    <w:basedOn w:val="DefaultParagraphFont"/>
    <w:link w:val="Heading4"/>
    <w:uiPriority w:val="9"/>
    <w:semiHidden/>
    <w:rsid w:val="00EB61C3"/>
    <w:rPr>
      <w:rFonts w:asciiTheme="majorHAnsi" w:eastAsiaTheme="majorEastAsia" w:hAnsiTheme="majorHAnsi" w:cstheme="majorBidi"/>
      <w:i/>
      <w:iCs/>
      <w:color w:val="365F91" w:themeColor="accent1" w:themeShade="BF"/>
      <w:sz w:val="22"/>
      <w:szCs w:val="22"/>
    </w:rPr>
  </w:style>
  <w:style w:type="character" w:customStyle="1" w:styleId="Heading2Char">
    <w:name w:val="Heading 2 Char"/>
    <w:aliases w:val="Sub Heading Char"/>
    <w:basedOn w:val="DefaultParagraphFont"/>
    <w:link w:val="Heading2"/>
    <w:uiPriority w:val="9"/>
    <w:rsid w:val="00EB61C3"/>
    <w:rPr>
      <w:rFonts w:eastAsiaTheme="majorEastAsia" w:cstheme="majorBidi"/>
      <w:b/>
      <w:szCs w:val="26"/>
    </w:rPr>
  </w:style>
  <w:style w:type="paragraph" w:styleId="ListParagraph">
    <w:name w:val="List Paragraph"/>
    <w:basedOn w:val="Normal"/>
    <w:uiPriority w:val="34"/>
    <w:qFormat/>
    <w:rsid w:val="0014608D"/>
    <w:pPr>
      <w:ind w:left="720"/>
      <w:contextualSpacing/>
    </w:pPr>
  </w:style>
  <w:style w:type="paragraph" w:styleId="BodyTextIndent">
    <w:name w:val="Body Text Indent"/>
    <w:basedOn w:val="Normal"/>
    <w:link w:val="BodyTextIndentChar"/>
    <w:uiPriority w:val="99"/>
    <w:semiHidden/>
    <w:unhideWhenUsed/>
    <w:rsid w:val="00320B9F"/>
    <w:pPr>
      <w:spacing w:after="120" w:line="276" w:lineRule="auto"/>
      <w:ind w:left="283"/>
    </w:pPr>
    <w:rPr>
      <w:rFonts w:asciiTheme="minorHAnsi" w:hAnsiTheme="minorHAnsi"/>
      <w:sz w:val="22"/>
    </w:rPr>
  </w:style>
  <w:style w:type="character" w:customStyle="1" w:styleId="BodyTextIndentChar">
    <w:name w:val="Body Text Indent Char"/>
    <w:basedOn w:val="DefaultParagraphFont"/>
    <w:link w:val="BodyTextIndent"/>
    <w:uiPriority w:val="99"/>
    <w:semiHidden/>
    <w:rsid w:val="00320B9F"/>
    <w:rPr>
      <w:rFonts w:asciiTheme="minorHAnsi" w:hAnsiTheme="minorHAnsi" w:cstheme="minorBidi"/>
      <w:sz w:val="22"/>
      <w:szCs w:val="22"/>
    </w:rPr>
  </w:style>
  <w:style w:type="paragraph" w:styleId="TOC2">
    <w:name w:val="toc 2"/>
    <w:basedOn w:val="Normal"/>
    <w:next w:val="Normal"/>
    <w:autoRedefine/>
    <w:uiPriority w:val="39"/>
    <w:unhideWhenUsed/>
    <w:rsid w:val="00BC77C7"/>
    <w:pPr>
      <w:spacing w:after="100"/>
      <w:ind w:left="240"/>
    </w:pPr>
  </w:style>
  <w:style w:type="paragraph" w:styleId="TOC1">
    <w:name w:val="toc 1"/>
    <w:basedOn w:val="Normal"/>
    <w:next w:val="Normal"/>
    <w:autoRedefine/>
    <w:uiPriority w:val="39"/>
    <w:unhideWhenUsed/>
    <w:rsid w:val="00DB08AC"/>
    <w:pPr>
      <w:tabs>
        <w:tab w:val="left" w:pos="440"/>
        <w:tab w:val="right" w:leader="dot" w:pos="9016"/>
      </w:tabs>
      <w:spacing w:after="100"/>
    </w:pPr>
    <w:rPr>
      <w:rFonts w:cs="Arial"/>
      <w:b/>
      <w:bCs/>
      <w:noProof/>
      <w:lang w:bidi="en-US"/>
    </w:rPr>
  </w:style>
  <w:style w:type="character" w:styleId="Hyperlink">
    <w:name w:val="Hyperlink"/>
    <w:basedOn w:val="DefaultParagraphFont"/>
    <w:uiPriority w:val="99"/>
    <w:unhideWhenUsed/>
    <w:rsid w:val="00BC77C7"/>
    <w:rPr>
      <w:color w:val="0000FF" w:themeColor="hyperlink"/>
      <w:u w:val="single"/>
    </w:rPr>
  </w:style>
  <w:style w:type="character" w:customStyle="1" w:styleId="Heading1Char">
    <w:name w:val="Heading 1 Char"/>
    <w:basedOn w:val="DefaultParagraphFont"/>
    <w:link w:val="Heading1"/>
    <w:uiPriority w:val="9"/>
    <w:rsid w:val="00DB08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rsid w:val="00DB08AC"/>
    <w:pPr>
      <w:spacing w:line="259" w:lineRule="auto"/>
      <w:outlineLvl w:val="9"/>
    </w:pPr>
    <w:rPr>
      <w:lang w:val="en-US"/>
    </w:rPr>
  </w:style>
  <w:style w:type="paragraph" w:styleId="Subtitle">
    <w:name w:val="Subtitle"/>
    <w:basedOn w:val="Normal"/>
    <w:next w:val="Normal"/>
    <w:link w:val="SubtitleChar"/>
    <w:uiPriority w:val="11"/>
    <w:rsid w:val="0004195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1958"/>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59"/>
    <w:rsid w:val="000419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B9C"/>
    <w:pPr>
      <w:tabs>
        <w:tab w:val="center" w:pos="4513"/>
        <w:tab w:val="right" w:pos="9026"/>
      </w:tabs>
    </w:pPr>
  </w:style>
  <w:style w:type="character" w:customStyle="1" w:styleId="HeaderChar">
    <w:name w:val="Header Char"/>
    <w:basedOn w:val="DefaultParagraphFont"/>
    <w:link w:val="Header"/>
    <w:uiPriority w:val="99"/>
    <w:rsid w:val="004F0B9C"/>
    <w:rPr>
      <w:rFonts w:cstheme="minorBidi"/>
      <w:szCs w:val="22"/>
    </w:rPr>
  </w:style>
  <w:style w:type="paragraph" w:styleId="Footer">
    <w:name w:val="footer"/>
    <w:basedOn w:val="Normal"/>
    <w:link w:val="FooterChar"/>
    <w:uiPriority w:val="99"/>
    <w:unhideWhenUsed/>
    <w:rsid w:val="004F0B9C"/>
    <w:pPr>
      <w:tabs>
        <w:tab w:val="center" w:pos="4513"/>
        <w:tab w:val="right" w:pos="9026"/>
      </w:tabs>
    </w:pPr>
  </w:style>
  <w:style w:type="character" w:customStyle="1" w:styleId="FooterChar">
    <w:name w:val="Footer Char"/>
    <w:basedOn w:val="DefaultParagraphFont"/>
    <w:link w:val="Footer"/>
    <w:uiPriority w:val="99"/>
    <w:rsid w:val="004F0B9C"/>
    <w:rPr>
      <w:rFonts w:cstheme="minorBidi"/>
      <w:szCs w:val="22"/>
    </w:rPr>
  </w:style>
  <w:style w:type="paragraph" w:customStyle="1" w:styleId="Default">
    <w:name w:val="Default"/>
    <w:rsid w:val="00FF5376"/>
    <w:pPr>
      <w:autoSpaceDE w:val="0"/>
      <w:autoSpaceDN w:val="0"/>
      <w:adjustRightInd w:val="0"/>
      <w:spacing w:after="0" w:line="240" w:lineRule="auto"/>
    </w:pPr>
    <w:rPr>
      <w:rFonts w:ascii="Cambria" w:hAnsi="Cambria" w:cs="Cambria"/>
      <w:color w:val="000000"/>
    </w:rPr>
  </w:style>
  <w:style w:type="character" w:styleId="UnresolvedMention">
    <w:name w:val="Unresolved Mention"/>
    <w:basedOn w:val="DefaultParagraphFont"/>
    <w:uiPriority w:val="99"/>
    <w:semiHidden/>
    <w:unhideWhenUsed/>
    <w:rsid w:val="00FF5376"/>
    <w:rPr>
      <w:color w:val="605E5C"/>
      <w:shd w:val="clear" w:color="auto" w:fill="E1DFDD"/>
    </w:rPr>
  </w:style>
  <w:style w:type="paragraph" w:styleId="BodyText">
    <w:name w:val="Body Text"/>
    <w:basedOn w:val="Normal"/>
    <w:link w:val="BodyTextChar"/>
    <w:uiPriority w:val="99"/>
    <w:semiHidden/>
    <w:unhideWhenUsed/>
    <w:rsid w:val="00880145"/>
    <w:pPr>
      <w:spacing w:after="120"/>
    </w:pPr>
  </w:style>
  <w:style w:type="character" w:customStyle="1" w:styleId="BodyTextChar">
    <w:name w:val="Body Text Char"/>
    <w:basedOn w:val="DefaultParagraphFont"/>
    <w:link w:val="BodyText"/>
    <w:uiPriority w:val="99"/>
    <w:semiHidden/>
    <w:rsid w:val="00880145"/>
    <w:rPr>
      <w:rFonts w:cstheme="minorBidi"/>
      <w:szCs w:val="22"/>
    </w:rPr>
  </w:style>
  <w:style w:type="character" w:styleId="FollowedHyperlink">
    <w:name w:val="FollowedHyperlink"/>
    <w:basedOn w:val="DefaultParagraphFont"/>
    <w:uiPriority w:val="99"/>
    <w:semiHidden/>
    <w:unhideWhenUsed/>
    <w:rsid w:val="0055581C"/>
    <w:rPr>
      <w:color w:val="800080" w:themeColor="followedHyperlink"/>
      <w:u w:val="single"/>
    </w:rPr>
  </w:style>
  <w:style w:type="paragraph" w:styleId="Revision">
    <w:name w:val="Revision"/>
    <w:hidden/>
    <w:uiPriority w:val="99"/>
    <w:semiHidden/>
    <w:rsid w:val="00F131CA"/>
    <w:pPr>
      <w:spacing w:after="0" w:line="240" w:lineRule="auto"/>
    </w:pPr>
    <w:rPr>
      <w:rFonts w:cstheme="minorBidi"/>
      <w:szCs w:val="22"/>
    </w:rPr>
  </w:style>
  <w:style w:type="character" w:styleId="CommentReference">
    <w:name w:val="annotation reference"/>
    <w:basedOn w:val="DefaultParagraphFont"/>
    <w:uiPriority w:val="99"/>
    <w:semiHidden/>
    <w:unhideWhenUsed/>
    <w:rsid w:val="008525C6"/>
    <w:rPr>
      <w:sz w:val="16"/>
      <w:szCs w:val="16"/>
    </w:rPr>
  </w:style>
  <w:style w:type="paragraph" w:styleId="CommentText">
    <w:name w:val="annotation text"/>
    <w:basedOn w:val="Normal"/>
    <w:link w:val="CommentTextChar"/>
    <w:uiPriority w:val="99"/>
    <w:unhideWhenUsed/>
    <w:rsid w:val="008525C6"/>
    <w:rPr>
      <w:sz w:val="20"/>
      <w:szCs w:val="20"/>
    </w:rPr>
  </w:style>
  <w:style w:type="character" w:customStyle="1" w:styleId="CommentTextChar">
    <w:name w:val="Comment Text Char"/>
    <w:basedOn w:val="DefaultParagraphFont"/>
    <w:link w:val="CommentText"/>
    <w:uiPriority w:val="99"/>
    <w:rsid w:val="008525C6"/>
    <w:rPr>
      <w:rFonts w:cstheme="minorBidi"/>
      <w:sz w:val="20"/>
      <w:szCs w:val="20"/>
    </w:rPr>
  </w:style>
  <w:style w:type="paragraph" w:styleId="CommentSubject">
    <w:name w:val="annotation subject"/>
    <w:basedOn w:val="CommentText"/>
    <w:next w:val="CommentText"/>
    <w:link w:val="CommentSubjectChar"/>
    <w:uiPriority w:val="99"/>
    <w:semiHidden/>
    <w:unhideWhenUsed/>
    <w:rsid w:val="008525C6"/>
    <w:rPr>
      <w:b/>
      <w:bCs/>
    </w:rPr>
  </w:style>
  <w:style w:type="character" w:customStyle="1" w:styleId="CommentSubjectChar">
    <w:name w:val="Comment Subject Char"/>
    <w:basedOn w:val="CommentTextChar"/>
    <w:link w:val="CommentSubject"/>
    <w:uiPriority w:val="99"/>
    <w:semiHidden/>
    <w:rsid w:val="008525C6"/>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3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2015/02/06/psa-fluidfood-thickening-powd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C737-9A27-4721-9CF1-343B1ADE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BLACK, Susan (ROTHERHAM DONCASTER AND SOUTH HUMBER NHS FOUNDATION TRUST)</cp:lastModifiedBy>
  <cp:revision>4</cp:revision>
  <cp:lastPrinted>2023-02-28T15:06:00Z</cp:lastPrinted>
  <dcterms:created xsi:type="dcterms:W3CDTF">2023-02-28T15:09:00Z</dcterms:created>
  <dcterms:modified xsi:type="dcterms:W3CDTF">2023-02-28T16:41:00Z</dcterms:modified>
</cp:coreProperties>
</file>