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4D3B75" w14:textId="77777777" w:rsidR="00DC59BD" w:rsidRDefault="00DC59BD" w:rsidP="00DC59BD">
      <w:pPr>
        <w:pStyle w:val="Heading2"/>
        <w:spacing w:before="73"/>
        <w:ind w:right="1191" w:hanging="1"/>
      </w:pPr>
      <w:r>
        <w:t>APPENDIX 7 – CHECKLIST FOR ENSURING INFORMATION GOVERNANCE COMPLIANCE IN THIRD PARTY CONTRACTS</w:t>
      </w:r>
    </w:p>
    <w:p w14:paraId="50EEE7D2" w14:textId="77777777" w:rsidR="00DC59BD" w:rsidRDefault="00DC59BD" w:rsidP="00DC59BD">
      <w:pPr>
        <w:pStyle w:val="BodyText"/>
        <w:spacing w:before="11"/>
        <w:rPr>
          <w:b/>
          <w:sz w:val="21"/>
        </w:rPr>
      </w:pPr>
    </w:p>
    <w:p w14:paraId="784047EA" w14:textId="77777777" w:rsidR="00DC59BD" w:rsidRDefault="00DC59BD" w:rsidP="00DC59BD">
      <w:pPr>
        <w:pStyle w:val="BodyText"/>
        <w:ind w:left="118" w:right="68" w:firstLine="1"/>
        <w:jc w:val="both"/>
      </w:pPr>
      <w:r>
        <w:t>This checklist must be used to sign-off contracts where third parties will have an interface with patients or staff and/or their Personal Confidential Data as having appropriate Information Governance (IG) clauses included.</w:t>
      </w:r>
    </w:p>
    <w:p w14:paraId="5513DA09" w14:textId="77777777" w:rsidR="00DC59BD" w:rsidRDefault="00DC59BD" w:rsidP="00DC59BD">
      <w:pPr>
        <w:pStyle w:val="BodyText"/>
        <w:spacing w:before="2"/>
        <w:rPr>
          <w:sz w:val="12"/>
        </w:rPr>
      </w:pPr>
    </w:p>
    <w:tbl>
      <w:tblPr>
        <w:tblW w:w="0" w:type="auto"/>
        <w:tblInd w:w="104"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firstRow="1" w:lastRow="1" w:firstColumn="1" w:lastColumn="1" w:noHBand="0" w:noVBand="0"/>
      </w:tblPr>
      <w:tblGrid>
        <w:gridCol w:w="5760"/>
        <w:gridCol w:w="730"/>
        <w:gridCol w:w="2410"/>
      </w:tblGrid>
      <w:tr w:rsidR="00DC59BD" w14:paraId="0B4ACB3C" w14:textId="77777777" w:rsidTr="00C419CF">
        <w:trPr>
          <w:trHeight w:hRule="exact" w:val="526"/>
        </w:trPr>
        <w:tc>
          <w:tcPr>
            <w:tcW w:w="5760" w:type="dxa"/>
            <w:shd w:val="clear" w:color="auto" w:fill="BFBFBF"/>
          </w:tcPr>
          <w:p w14:paraId="75A07930" w14:textId="77777777" w:rsidR="00DC59BD" w:rsidRDefault="00DC59BD" w:rsidP="00C419CF">
            <w:pPr>
              <w:pStyle w:val="TableParagraph"/>
              <w:spacing w:before="115"/>
              <w:ind w:left="2"/>
              <w:rPr>
                <w:b/>
              </w:rPr>
            </w:pPr>
            <w:r>
              <w:rPr>
                <w:b/>
              </w:rPr>
              <w:t>Required contractual clause</w:t>
            </w:r>
          </w:p>
        </w:tc>
        <w:tc>
          <w:tcPr>
            <w:tcW w:w="730" w:type="dxa"/>
            <w:shd w:val="clear" w:color="auto" w:fill="BFBFBF"/>
          </w:tcPr>
          <w:p w14:paraId="28561230" w14:textId="77777777" w:rsidR="00DC59BD" w:rsidRDefault="00DC59BD" w:rsidP="00C419CF">
            <w:pPr>
              <w:pStyle w:val="TableParagraph"/>
              <w:ind w:left="2" w:right="182"/>
              <w:rPr>
                <w:b/>
              </w:rPr>
            </w:pPr>
            <w:r>
              <w:rPr>
                <w:b/>
              </w:rPr>
              <w:t>Met (Y/N)</w:t>
            </w:r>
          </w:p>
        </w:tc>
        <w:tc>
          <w:tcPr>
            <w:tcW w:w="2410" w:type="dxa"/>
            <w:shd w:val="clear" w:color="auto" w:fill="BFBFBF"/>
          </w:tcPr>
          <w:p w14:paraId="090476B6" w14:textId="77777777" w:rsidR="00DC59BD" w:rsidRDefault="00DC59BD" w:rsidP="00C419CF">
            <w:pPr>
              <w:pStyle w:val="TableParagraph"/>
              <w:spacing w:before="115"/>
              <w:ind w:left="2"/>
              <w:rPr>
                <w:b/>
              </w:rPr>
            </w:pPr>
            <w:r>
              <w:rPr>
                <w:b/>
              </w:rPr>
              <w:t>Comments</w:t>
            </w:r>
          </w:p>
        </w:tc>
      </w:tr>
      <w:tr w:rsidR="00DC59BD" w14:paraId="2E81A9E9" w14:textId="77777777" w:rsidTr="00C419CF">
        <w:trPr>
          <w:trHeight w:hRule="exact" w:val="516"/>
        </w:trPr>
        <w:tc>
          <w:tcPr>
            <w:tcW w:w="5760" w:type="dxa"/>
          </w:tcPr>
          <w:p w14:paraId="4F63693B" w14:textId="77777777" w:rsidR="00DC59BD" w:rsidRDefault="00DC59BD" w:rsidP="00C419CF">
            <w:pPr>
              <w:pStyle w:val="TableParagraph"/>
              <w:spacing w:line="252" w:lineRule="exact"/>
              <w:ind w:left="2" w:right="275"/>
            </w:pPr>
            <w:r>
              <w:t>The Data Processor ensures the confidentiality of the data being processed.</w:t>
            </w:r>
          </w:p>
        </w:tc>
        <w:tc>
          <w:tcPr>
            <w:tcW w:w="730" w:type="dxa"/>
            <w:tcBorders>
              <w:top w:val="single" w:sz="10" w:space="0" w:color="000000"/>
            </w:tcBorders>
          </w:tcPr>
          <w:p w14:paraId="33C8CB42" w14:textId="77777777" w:rsidR="00DC59BD" w:rsidRDefault="00DC59BD" w:rsidP="00C419CF"/>
        </w:tc>
        <w:tc>
          <w:tcPr>
            <w:tcW w:w="2410" w:type="dxa"/>
          </w:tcPr>
          <w:p w14:paraId="392A801D" w14:textId="77777777" w:rsidR="00DC59BD" w:rsidRDefault="00DC59BD" w:rsidP="00C419CF"/>
        </w:tc>
      </w:tr>
      <w:tr w:rsidR="00DC59BD" w14:paraId="55FC7E60" w14:textId="77777777" w:rsidTr="00C419CF">
        <w:trPr>
          <w:trHeight w:hRule="exact" w:val="1529"/>
        </w:trPr>
        <w:tc>
          <w:tcPr>
            <w:tcW w:w="5760" w:type="dxa"/>
          </w:tcPr>
          <w:p w14:paraId="3F600D29" w14:textId="77777777" w:rsidR="00DC59BD" w:rsidRDefault="00DC59BD" w:rsidP="00C419CF">
            <w:pPr>
              <w:pStyle w:val="TableParagraph"/>
              <w:spacing w:line="252" w:lineRule="exact"/>
              <w:ind w:left="2" w:right="176"/>
            </w:pPr>
            <w:r>
              <w:t xml:space="preserve">The Data Processor ensures the technical and </w:t>
            </w:r>
            <w:proofErr w:type="spellStart"/>
            <w:r>
              <w:t>organisation</w:t>
            </w:r>
            <w:proofErr w:type="spellEnd"/>
            <w:r>
              <w:t xml:space="preserve"> security </w:t>
            </w:r>
            <w:r>
              <w:rPr>
                <w:spacing w:val="-3"/>
              </w:rPr>
              <w:t xml:space="preserve">of </w:t>
            </w:r>
            <w:r>
              <w:t>the data being processed (i.e. Information</w:t>
            </w:r>
            <w:r>
              <w:rPr>
                <w:spacing w:val="-8"/>
              </w:rPr>
              <w:t xml:space="preserve"> </w:t>
            </w:r>
            <w:r>
              <w:t>Security</w:t>
            </w:r>
            <w:r>
              <w:rPr>
                <w:spacing w:val="-10"/>
              </w:rPr>
              <w:t xml:space="preserve"> </w:t>
            </w:r>
            <w:r>
              <w:rPr>
                <w:spacing w:val="-3"/>
              </w:rPr>
              <w:t>of</w:t>
            </w:r>
            <w:r>
              <w:t xml:space="preserve"> both</w:t>
            </w:r>
            <w:r>
              <w:rPr>
                <w:spacing w:val="-6"/>
              </w:rPr>
              <w:t xml:space="preserve"> </w:t>
            </w:r>
            <w:r>
              <w:t>paper</w:t>
            </w:r>
            <w:r>
              <w:rPr>
                <w:spacing w:val="-5"/>
              </w:rPr>
              <w:t xml:space="preserve"> </w:t>
            </w:r>
            <w:r>
              <w:t>and</w:t>
            </w:r>
            <w:r>
              <w:rPr>
                <w:spacing w:val="-8"/>
              </w:rPr>
              <w:t xml:space="preserve"> </w:t>
            </w:r>
            <w:r>
              <w:t>digital</w:t>
            </w:r>
            <w:r>
              <w:rPr>
                <w:spacing w:val="-9"/>
              </w:rPr>
              <w:t xml:space="preserve"> </w:t>
            </w:r>
            <w:r>
              <w:t>records),</w:t>
            </w:r>
            <w:r>
              <w:rPr>
                <w:spacing w:val="-5"/>
              </w:rPr>
              <w:t xml:space="preserve"> </w:t>
            </w:r>
            <w:r>
              <w:t xml:space="preserve">by use of, for example, encryption and </w:t>
            </w:r>
            <w:proofErr w:type="spellStart"/>
            <w:r>
              <w:t>pseudonymisation</w:t>
            </w:r>
            <w:proofErr w:type="spellEnd"/>
            <w:r>
              <w:t xml:space="preserve">, as </w:t>
            </w:r>
            <w:r>
              <w:rPr>
                <w:spacing w:val="-3"/>
              </w:rPr>
              <w:t xml:space="preserve">well </w:t>
            </w:r>
            <w:r>
              <w:t xml:space="preserve">as </w:t>
            </w:r>
            <w:proofErr w:type="gramStart"/>
            <w:r>
              <w:t>contractually-agreed</w:t>
            </w:r>
            <w:proofErr w:type="gramEnd"/>
            <w:r>
              <w:t xml:space="preserve"> backup, restore and recovery</w:t>
            </w:r>
            <w:r>
              <w:rPr>
                <w:spacing w:val="-15"/>
              </w:rPr>
              <w:t xml:space="preserve"> </w:t>
            </w:r>
            <w:r>
              <w:t>processes.</w:t>
            </w:r>
          </w:p>
        </w:tc>
        <w:tc>
          <w:tcPr>
            <w:tcW w:w="730" w:type="dxa"/>
          </w:tcPr>
          <w:p w14:paraId="62E5BC9A" w14:textId="77777777" w:rsidR="00DC59BD" w:rsidRDefault="00DC59BD" w:rsidP="00C419CF"/>
        </w:tc>
        <w:tc>
          <w:tcPr>
            <w:tcW w:w="2410" w:type="dxa"/>
          </w:tcPr>
          <w:p w14:paraId="22815091" w14:textId="77777777" w:rsidR="00DC59BD" w:rsidRDefault="00DC59BD" w:rsidP="00C419CF"/>
        </w:tc>
      </w:tr>
      <w:tr w:rsidR="00DC59BD" w14:paraId="7E7B83B7" w14:textId="77777777" w:rsidTr="00C419CF">
        <w:trPr>
          <w:trHeight w:hRule="exact" w:val="1022"/>
        </w:trPr>
        <w:tc>
          <w:tcPr>
            <w:tcW w:w="5760" w:type="dxa"/>
          </w:tcPr>
          <w:p w14:paraId="52890F73" w14:textId="77777777" w:rsidR="00DC59BD" w:rsidRDefault="00DC59BD" w:rsidP="00C419CF">
            <w:pPr>
              <w:pStyle w:val="TableParagraph"/>
              <w:ind w:left="2"/>
            </w:pPr>
            <w:r>
              <w:t xml:space="preserve">The Data Processor ensures responds to and / or appropriately supports Subject Access Requests within a predefined timescale, </w:t>
            </w:r>
            <w:proofErr w:type="gramStart"/>
            <w:r>
              <w:t>so as to</w:t>
            </w:r>
            <w:proofErr w:type="gramEnd"/>
            <w:r>
              <w:t xml:space="preserve"> allow the Data Controller to respond to the requestor within the month timescale.</w:t>
            </w:r>
          </w:p>
        </w:tc>
        <w:tc>
          <w:tcPr>
            <w:tcW w:w="730" w:type="dxa"/>
          </w:tcPr>
          <w:p w14:paraId="6F22A22A" w14:textId="77777777" w:rsidR="00DC59BD" w:rsidRDefault="00DC59BD" w:rsidP="00C419CF"/>
        </w:tc>
        <w:tc>
          <w:tcPr>
            <w:tcW w:w="2410" w:type="dxa"/>
          </w:tcPr>
          <w:p w14:paraId="1EB41AF9" w14:textId="77777777" w:rsidR="00DC59BD" w:rsidRDefault="00DC59BD" w:rsidP="00C419CF"/>
        </w:tc>
      </w:tr>
      <w:tr w:rsidR="00DC59BD" w14:paraId="4D1A5F7F" w14:textId="77777777" w:rsidTr="00C419CF">
        <w:trPr>
          <w:trHeight w:hRule="exact" w:val="1783"/>
        </w:trPr>
        <w:tc>
          <w:tcPr>
            <w:tcW w:w="5760" w:type="dxa"/>
          </w:tcPr>
          <w:p w14:paraId="63790BB3" w14:textId="77777777" w:rsidR="00DC59BD" w:rsidRDefault="00DC59BD" w:rsidP="00C419CF">
            <w:pPr>
              <w:pStyle w:val="TableParagraph"/>
              <w:ind w:left="2"/>
            </w:pPr>
            <w:r>
              <w:t xml:space="preserve">The Data Processor ensures will appropriately inform the Data Controller of any Data Breaches (including IG, Information Security, Cyber </w:t>
            </w:r>
            <w:proofErr w:type="gramStart"/>
            <w:r>
              <w:t>Security</w:t>
            </w:r>
            <w:proofErr w:type="gramEnd"/>
            <w:r>
              <w:t xml:space="preserve"> and other related breaches) at the earliest opportunity and no later than 24 hours from becoming aware of the data breach to enable the Data Controller to meet its 72 hours reporting obligation.</w:t>
            </w:r>
          </w:p>
        </w:tc>
        <w:tc>
          <w:tcPr>
            <w:tcW w:w="730" w:type="dxa"/>
          </w:tcPr>
          <w:p w14:paraId="35C2B48F" w14:textId="77777777" w:rsidR="00DC59BD" w:rsidRDefault="00DC59BD" w:rsidP="00C419CF"/>
        </w:tc>
        <w:tc>
          <w:tcPr>
            <w:tcW w:w="2410" w:type="dxa"/>
          </w:tcPr>
          <w:p w14:paraId="0995A652" w14:textId="77777777" w:rsidR="00DC59BD" w:rsidRDefault="00DC59BD" w:rsidP="00C419CF"/>
        </w:tc>
      </w:tr>
      <w:tr w:rsidR="00DC59BD" w14:paraId="0F3742D8" w14:textId="77777777" w:rsidTr="00C419CF">
        <w:trPr>
          <w:trHeight w:hRule="exact" w:val="768"/>
        </w:trPr>
        <w:tc>
          <w:tcPr>
            <w:tcW w:w="5760" w:type="dxa"/>
          </w:tcPr>
          <w:p w14:paraId="07CE5E76" w14:textId="77777777" w:rsidR="00DC59BD" w:rsidRDefault="00DC59BD" w:rsidP="00C419CF">
            <w:pPr>
              <w:pStyle w:val="TableParagraph"/>
              <w:spacing w:line="237" w:lineRule="auto"/>
              <w:ind w:left="2" w:right="275"/>
            </w:pPr>
            <w:r>
              <w:t>The Data Processor ensures will cooperate with the Data Controller in informing Data Subjects if their data has been breached.</w:t>
            </w:r>
          </w:p>
        </w:tc>
        <w:tc>
          <w:tcPr>
            <w:tcW w:w="730" w:type="dxa"/>
          </w:tcPr>
          <w:p w14:paraId="130A87BF" w14:textId="77777777" w:rsidR="00DC59BD" w:rsidRDefault="00DC59BD" w:rsidP="00C419CF"/>
        </w:tc>
        <w:tc>
          <w:tcPr>
            <w:tcW w:w="2410" w:type="dxa"/>
          </w:tcPr>
          <w:p w14:paraId="16066AAE" w14:textId="77777777" w:rsidR="00DC59BD" w:rsidRDefault="00DC59BD" w:rsidP="00C419CF"/>
        </w:tc>
      </w:tr>
      <w:tr w:rsidR="00DC59BD" w14:paraId="15631D51" w14:textId="77777777" w:rsidTr="00C419CF">
        <w:trPr>
          <w:trHeight w:hRule="exact" w:val="1272"/>
        </w:trPr>
        <w:tc>
          <w:tcPr>
            <w:tcW w:w="5760" w:type="dxa"/>
          </w:tcPr>
          <w:p w14:paraId="560C23B2" w14:textId="77777777" w:rsidR="00DC59BD" w:rsidRDefault="00DC59BD" w:rsidP="00C419CF">
            <w:pPr>
              <w:pStyle w:val="TableParagraph"/>
              <w:spacing w:line="237" w:lineRule="auto"/>
              <w:ind w:left="2" w:right="234"/>
            </w:pPr>
            <w:r>
              <w:t xml:space="preserve">The Data Processor ensures </w:t>
            </w:r>
            <w:r>
              <w:rPr>
                <w:spacing w:val="-3"/>
              </w:rPr>
              <w:t xml:space="preserve">will </w:t>
            </w:r>
            <w:r>
              <w:t xml:space="preserve">cooperate </w:t>
            </w:r>
            <w:r>
              <w:rPr>
                <w:spacing w:val="-3"/>
              </w:rPr>
              <w:t xml:space="preserve">with </w:t>
            </w:r>
            <w:r>
              <w:t xml:space="preserve">any </w:t>
            </w:r>
            <w:proofErr w:type="gramStart"/>
            <w:r>
              <w:t>third party</w:t>
            </w:r>
            <w:proofErr w:type="gramEnd"/>
            <w:r>
              <w:t xml:space="preserve"> incident responders appointed by the Data Controller, national </w:t>
            </w:r>
            <w:proofErr w:type="spellStart"/>
            <w:r>
              <w:t>CareCERTs</w:t>
            </w:r>
            <w:proofErr w:type="spellEnd"/>
            <w:r>
              <w:t xml:space="preserve"> </w:t>
            </w:r>
            <w:r>
              <w:rPr>
                <w:spacing w:val="-3"/>
              </w:rPr>
              <w:t xml:space="preserve">(if </w:t>
            </w:r>
            <w:r>
              <w:t xml:space="preserve">health and </w:t>
            </w:r>
            <w:r>
              <w:rPr>
                <w:spacing w:val="-3"/>
              </w:rPr>
              <w:t>social</w:t>
            </w:r>
            <w:r>
              <w:rPr>
                <w:spacing w:val="-25"/>
              </w:rPr>
              <w:t xml:space="preserve"> </w:t>
            </w:r>
            <w:r>
              <w:t>care</w:t>
            </w:r>
          </w:p>
          <w:p w14:paraId="2AC24B97" w14:textId="77777777" w:rsidR="00DC59BD" w:rsidRDefault="00DC59BD" w:rsidP="00C419CF">
            <w:pPr>
              <w:pStyle w:val="TableParagraph"/>
              <w:spacing w:before="2"/>
              <w:ind w:left="2"/>
            </w:pPr>
            <w:r>
              <w:t>bodies)</w:t>
            </w:r>
            <w:r>
              <w:rPr>
                <w:spacing w:val="-5"/>
              </w:rPr>
              <w:t xml:space="preserve"> </w:t>
            </w:r>
            <w:r>
              <w:t>and</w:t>
            </w:r>
            <w:r>
              <w:rPr>
                <w:spacing w:val="-8"/>
              </w:rPr>
              <w:t xml:space="preserve"> </w:t>
            </w:r>
            <w:r>
              <w:t>law</w:t>
            </w:r>
            <w:r>
              <w:rPr>
                <w:spacing w:val="-11"/>
              </w:rPr>
              <w:t xml:space="preserve"> </w:t>
            </w:r>
            <w:r>
              <w:t>enforcement</w:t>
            </w:r>
            <w:r>
              <w:rPr>
                <w:spacing w:val="-7"/>
              </w:rPr>
              <w:t xml:space="preserve"> </w:t>
            </w:r>
            <w:r>
              <w:t>agencies</w:t>
            </w:r>
            <w:r>
              <w:rPr>
                <w:spacing w:val="-10"/>
              </w:rPr>
              <w:t xml:space="preserve"> </w:t>
            </w:r>
            <w:r>
              <w:t>through</w:t>
            </w:r>
            <w:r>
              <w:rPr>
                <w:spacing w:val="-10"/>
              </w:rPr>
              <w:t xml:space="preserve"> </w:t>
            </w:r>
            <w:r>
              <w:t>the</w:t>
            </w:r>
            <w:r>
              <w:rPr>
                <w:spacing w:val="-7"/>
              </w:rPr>
              <w:t xml:space="preserve"> </w:t>
            </w:r>
            <w:r>
              <w:t>incident management</w:t>
            </w:r>
            <w:r>
              <w:rPr>
                <w:spacing w:val="-29"/>
              </w:rPr>
              <w:t xml:space="preserve"> </w:t>
            </w:r>
            <w:r>
              <w:t>lifecycle.</w:t>
            </w:r>
          </w:p>
        </w:tc>
        <w:tc>
          <w:tcPr>
            <w:tcW w:w="730" w:type="dxa"/>
          </w:tcPr>
          <w:p w14:paraId="7ADAB738" w14:textId="77777777" w:rsidR="00DC59BD" w:rsidRDefault="00DC59BD" w:rsidP="00C419CF"/>
        </w:tc>
        <w:tc>
          <w:tcPr>
            <w:tcW w:w="2410" w:type="dxa"/>
          </w:tcPr>
          <w:p w14:paraId="33B3D79B" w14:textId="77777777" w:rsidR="00DC59BD" w:rsidRDefault="00DC59BD" w:rsidP="00C419CF"/>
        </w:tc>
      </w:tr>
      <w:tr w:rsidR="00DC59BD" w14:paraId="5C7DDCE6" w14:textId="77777777" w:rsidTr="00C419CF">
        <w:trPr>
          <w:trHeight w:hRule="exact" w:val="1274"/>
        </w:trPr>
        <w:tc>
          <w:tcPr>
            <w:tcW w:w="5760" w:type="dxa"/>
          </w:tcPr>
          <w:p w14:paraId="16687542" w14:textId="77777777" w:rsidR="00DC59BD" w:rsidRDefault="00DC59BD" w:rsidP="00C419CF">
            <w:pPr>
              <w:pStyle w:val="TableParagraph"/>
              <w:ind w:left="2" w:right="275"/>
            </w:pPr>
            <w:r>
              <w:t>The Data Processor ensures will fully engage with both Privacy by Design, including Data Protection Impact Assessment, processes when developing new and / or significantly updating existing information systems (paper or digital).</w:t>
            </w:r>
          </w:p>
        </w:tc>
        <w:tc>
          <w:tcPr>
            <w:tcW w:w="730" w:type="dxa"/>
          </w:tcPr>
          <w:p w14:paraId="40672DBB" w14:textId="77777777" w:rsidR="00DC59BD" w:rsidRDefault="00DC59BD" w:rsidP="00C419CF"/>
        </w:tc>
        <w:tc>
          <w:tcPr>
            <w:tcW w:w="2410" w:type="dxa"/>
          </w:tcPr>
          <w:p w14:paraId="51524715" w14:textId="77777777" w:rsidR="00DC59BD" w:rsidRDefault="00DC59BD" w:rsidP="00C419CF"/>
        </w:tc>
      </w:tr>
      <w:tr w:rsidR="00DC59BD" w14:paraId="690BD770" w14:textId="77777777" w:rsidTr="00C419CF">
        <w:trPr>
          <w:trHeight w:hRule="exact" w:val="1529"/>
        </w:trPr>
        <w:tc>
          <w:tcPr>
            <w:tcW w:w="5760" w:type="dxa"/>
          </w:tcPr>
          <w:p w14:paraId="63904F73" w14:textId="77777777" w:rsidR="00DC59BD" w:rsidRDefault="00DC59BD" w:rsidP="00C419CF">
            <w:pPr>
              <w:pStyle w:val="TableParagraph"/>
              <w:ind w:left="2" w:right="275"/>
            </w:pPr>
            <w:r>
              <w:t>The Data Processor will return all Personal Data to the Data Controller at the end of the provision of services and only delete any copies upon instruction by the Data Controller (having first confirmed that data integrity has been maintained in the transfer or that the data are not required as per retention schedule).</w:t>
            </w:r>
          </w:p>
        </w:tc>
        <w:tc>
          <w:tcPr>
            <w:tcW w:w="730" w:type="dxa"/>
          </w:tcPr>
          <w:p w14:paraId="3244DE32" w14:textId="77777777" w:rsidR="00DC59BD" w:rsidRDefault="00DC59BD" w:rsidP="00C419CF"/>
        </w:tc>
        <w:tc>
          <w:tcPr>
            <w:tcW w:w="2410" w:type="dxa"/>
          </w:tcPr>
          <w:p w14:paraId="170D01D4" w14:textId="77777777" w:rsidR="00DC59BD" w:rsidRDefault="00DC59BD" w:rsidP="00C419CF"/>
        </w:tc>
      </w:tr>
      <w:tr w:rsidR="00DC59BD" w14:paraId="10F92C50" w14:textId="77777777" w:rsidTr="00C419CF">
        <w:trPr>
          <w:trHeight w:hRule="exact" w:val="1274"/>
        </w:trPr>
        <w:tc>
          <w:tcPr>
            <w:tcW w:w="5760" w:type="dxa"/>
          </w:tcPr>
          <w:p w14:paraId="0654D116" w14:textId="77777777" w:rsidR="00DC59BD" w:rsidRDefault="00DC59BD" w:rsidP="00C419CF">
            <w:pPr>
              <w:pStyle w:val="TableParagraph"/>
              <w:spacing w:line="252" w:lineRule="exact"/>
              <w:ind w:left="2" w:right="275"/>
            </w:pPr>
            <w:r>
              <w:t xml:space="preserve">The Data Processor will allow the Data Controller’s preferred penetration testing </w:t>
            </w:r>
            <w:proofErr w:type="spellStart"/>
            <w:r>
              <w:t>organisation</w:t>
            </w:r>
            <w:proofErr w:type="spellEnd"/>
            <w:r>
              <w:t xml:space="preserve"> to actively scan infrastructure hosting digital information for vulnerabilities and to exploit these for the purposes of evidence to the Data Controller and Data Processor.</w:t>
            </w:r>
          </w:p>
        </w:tc>
        <w:tc>
          <w:tcPr>
            <w:tcW w:w="730" w:type="dxa"/>
          </w:tcPr>
          <w:p w14:paraId="7EE5F3F5" w14:textId="77777777" w:rsidR="00DC59BD" w:rsidRDefault="00DC59BD" w:rsidP="00C419CF"/>
        </w:tc>
        <w:tc>
          <w:tcPr>
            <w:tcW w:w="2410" w:type="dxa"/>
          </w:tcPr>
          <w:p w14:paraId="56CCFC55" w14:textId="77777777" w:rsidR="00DC59BD" w:rsidRDefault="00DC59BD" w:rsidP="00C419CF"/>
        </w:tc>
      </w:tr>
    </w:tbl>
    <w:p w14:paraId="4225ADF6" w14:textId="77777777" w:rsidR="00DC59BD" w:rsidRDefault="00DC59BD" w:rsidP="00DC59BD">
      <w:pPr>
        <w:sectPr w:rsidR="00DC59BD" w:rsidSect="00E847FE">
          <w:pgSz w:w="12240" w:h="15840"/>
          <w:pgMar w:top="1280" w:right="1520" w:bottom="1200" w:left="1580" w:header="0" w:footer="937" w:gutter="0"/>
          <w:cols w:space="720"/>
        </w:sectPr>
      </w:pPr>
    </w:p>
    <w:tbl>
      <w:tblPr>
        <w:tblW w:w="0" w:type="auto"/>
        <w:tblInd w:w="104"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firstRow="1" w:lastRow="1" w:firstColumn="1" w:lastColumn="1" w:noHBand="0" w:noVBand="0"/>
      </w:tblPr>
      <w:tblGrid>
        <w:gridCol w:w="5760"/>
        <w:gridCol w:w="730"/>
        <w:gridCol w:w="2410"/>
      </w:tblGrid>
      <w:tr w:rsidR="00DC59BD" w14:paraId="31FAC326" w14:textId="77777777" w:rsidTr="00C419CF">
        <w:trPr>
          <w:trHeight w:hRule="exact" w:val="270"/>
        </w:trPr>
        <w:tc>
          <w:tcPr>
            <w:tcW w:w="8899" w:type="dxa"/>
            <w:gridSpan w:val="3"/>
            <w:tcBorders>
              <w:top w:val="nil"/>
              <w:left w:val="nil"/>
              <w:bottom w:val="nil"/>
              <w:right w:val="nil"/>
            </w:tcBorders>
            <w:shd w:val="clear" w:color="auto" w:fill="000000"/>
          </w:tcPr>
          <w:p w14:paraId="3A8F9959" w14:textId="77777777" w:rsidR="00DC59BD" w:rsidRDefault="00DC59BD" w:rsidP="00C419CF">
            <w:pPr>
              <w:pStyle w:val="TableParagraph"/>
              <w:spacing w:before="2"/>
              <w:ind w:left="8"/>
              <w:rPr>
                <w:b/>
              </w:rPr>
            </w:pPr>
            <w:r>
              <w:rPr>
                <w:b/>
                <w:color w:val="FFFFFF"/>
              </w:rPr>
              <w:lastRenderedPageBreak/>
              <w:t>Freedom of Information</w:t>
            </w:r>
          </w:p>
        </w:tc>
      </w:tr>
      <w:tr w:rsidR="00DC59BD" w14:paraId="7BF30465" w14:textId="77777777" w:rsidTr="00C419CF">
        <w:trPr>
          <w:trHeight w:hRule="exact" w:val="516"/>
        </w:trPr>
        <w:tc>
          <w:tcPr>
            <w:tcW w:w="5760" w:type="dxa"/>
          </w:tcPr>
          <w:p w14:paraId="7C1D5E25" w14:textId="77777777" w:rsidR="00DC59BD" w:rsidRDefault="00DC59BD" w:rsidP="00C419CF">
            <w:pPr>
              <w:pStyle w:val="TableParagraph"/>
              <w:spacing w:line="252" w:lineRule="exact"/>
              <w:ind w:left="2"/>
            </w:pPr>
            <w:r>
              <w:t>Duty to disclose (or to support disclosure if a non-public body).</w:t>
            </w:r>
          </w:p>
        </w:tc>
        <w:tc>
          <w:tcPr>
            <w:tcW w:w="730" w:type="dxa"/>
          </w:tcPr>
          <w:p w14:paraId="0DB1AD60" w14:textId="77777777" w:rsidR="00DC59BD" w:rsidRDefault="00DC59BD" w:rsidP="00C419CF"/>
        </w:tc>
        <w:tc>
          <w:tcPr>
            <w:tcW w:w="2410" w:type="dxa"/>
          </w:tcPr>
          <w:p w14:paraId="74550022" w14:textId="77777777" w:rsidR="00DC59BD" w:rsidRDefault="00DC59BD" w:rsidP="00C419CF"/>
        </w:tc>
      </w:tr>
      <w:tr w:rsidR="00DC59BD" w14:paraId="474938AA" w14:textId="77777777" w:rsidTr="00C419CF">
        <w:trPr>
          <w:trHeight w:hRule="exact" w:val="262"/>
        </w:trPr>
        <w:tc>
          <w:tcPr>
            <w:tcW w:w="5760" w:type="dxa"/>
          </w:tcPr>
          <w:p w14:paraId="34FC9433" w14:textId="77777777" w:rsidR="00DC59BD" w:rsidRDefault="00DC59BD" w:rsidP="00C419CF">
            <w:pPr>
              <w:pStyle w:val="TableParagraph"/>
              <w:spacing w:line="248" w:lineRule="exact"/>
              <w:ind w:left="2"/>
            </w:pPr>
            <w:r>
              <w:t>Any exemptions to disclosure provisions.</w:t>
            </w:r>
          </w:p>
        </w:tc>
        <w:tc>
          <w:tcPr>
            <w:tcW w:w="730" w:type="dxa"/>
          </w:tcPr>
          <w:p w14:paraId="58CE2598" w14:textId="77777777" w:rsidR="00DC59BD" w:rsidRDefault="00DC59BD" w:rsidP="00C419CF"/>
        </w:tc>
        <w:tc>
          <w:tcPr>
            <w:tcW w:w="2410" w:type="dxa"/>
          </w:tcPr>
          <w:p w14:paraId="7785137A" w14:textId="77777777" w:rsidR="00DC59BD" w:rsidRDefault="00DC59BD" w:rsidP="00C419CF"/>
        </w:tc>
      </w:tr>
      <w:tr w:rsidR="00DC59BD" w14:paraId="34E5F864" w14:textId="77777777" w:rsidTr="00C419CF">
        <w:trPr>
          <w:trHeight w:hRule="exact" w:val="264"/>
        </w:trPr>
        <w:tc>
          <w:tcPr>
            <w:tcW w:w="5760" w:type="dxa"/>
          </w:tcPr>
          <w:p w14:paraId="5F0FA9A6" w14:textId="77777777" w:rsidR="00DC59BD" w:rsidRDefault="00DC59BD" w:rsidP="00C419CF">
            <w:pPr>
              <w:pStyle w:val="TableParagraph"/>
              <w:spacing w:line="248" w:lineRule="exact"/>
              <w:ind w:left="2"/>
            </w:pPr>
            <w:r>
              <w:t>Responsibility for FOI applications.</w:t>
            </w:r>
          </w:p>
        </w:tc>
        <w:tc>
          <w:tcPr>
            <w:tcW w:w="730" w:type="dxa"/>
          </w:tcPr>
          <w:p w14:paraId="76EC219D" w14:textId="77777777" w:rsidR="00DC59BD" w:rsidRDefault="00DC59BD" w:rsidP="00C419CF"/>
        </w:tc>
        <w:tc>
          <w:tcPr>
            <w:tcW w:w="2410" w:type="dxa"/>
          </w:tcPr>
          <w:p w14:paraId="5BD27BD8" w14:textId="77777777" w:rsidR="00DC59BD" w:rsidRDefault="00DC59BD" w:rsidP="00C419CF"/>
        </w:tc>
      </w:tr>
    </w:tbl>
    <w:p w14:paraId="7576F5E2" w14:textId="77777777" w:rsidR="00DC59BD" w:rsidRDefault="00DC59BD" w:rsidP="00DC59BD">
      <w:pPr>
        <w:pStyle w:val="BodyText"/>
        <w:spacing w:before="6"/>
        <w:rPr>
          <w:sz w:val="13"/>
        </w:rPr>
      </w:pPr>
    </w:p>
    <w:p w14:paraId="6FC3CBF8" w14:textId="77777777" w:rsidR="00DC59BD" w:rsidRDefault="00DC59BD" w:rsidP="00DC59BD">
      <w:pPr>
        <w:pStyle w:val="BodyText"/>
        <w:spacing w:before="94"/>
        <w:ind w:left="118" w:right="472"/>
      </w:pPr>
      <w:r>
        <w:t>If the NHS Standard Contract or NHS Terms and Conditions of Contract are used, it is not necessary to complete this checklist, as it incorporates appropriate Information Governance assurance clauses.</w:t>
      </w:r>
    </w:p>
    <w:p w14:paraId="4574E673" w14:textId="77777777" w:rsidR="00DC59BD" w:rsidRDefault="00DC59BD" w:rsidP="00DC59BD">
      <w:pPr>
        <w:pStyle w:val="BodyText"/>
        <w:spacing w:before="4"/>
        <w:rPr>
          <w:sz w:val="21"/>
        </w:rPr>
      </w:pPr>
    </w:p>
    <w:p w14:paraId="30B99F46" w14:textId="77777777" w:rsidR="00DC59BD" w:rsidRDefault="00DC59BD" w:rsidP="00DC59BD">
      <w:pPr>
        <w:pStyle w:val="Heading2"/>
        <w:ind w:right="516" w:hanging="1"/>
        <w:jc w:val="both"/>
      </w:pPr>
      <w:bookmarkStart w:id="0" w:name="It_is_the_joint_responsibility_of_the_Co"/>
      <w:bookmarkEnd w:id="0"/>
      <w:r>
        <w:t>It is the joint responsibility of the Commissioning / Procurement Team and the owning Manager of the contract to ensure this Checklist is completed and held locally.</w:t>
      </w:r>
    </w:p>
    <w:p w14:paraId="5C1FFD92" w14:textId="77777777" w:rsidR="00DC59BD" w:rsidRDefault="00DC59BD" w:rsidP="00DC59BD">
      <w:pPr>
        <w:pStyle w:val="BodyText"/>
        <w:spacing w:before="9"/>
        <w:rPr>
          <w:b/>
        </w:rPr>
      </w:pPr>
    </w:p>
    <w:tbl>
      <w:tblPr>
        <w:tblW w:w="0" w:type="auto"/>
        <w:tblInd w:w="213"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firstRow="1" w:lastRow="1" w:firstColumn="1" w:lastColumn="1" w:noHBand="0" w:noVBand="0"/>
      </w:tblPr>
      <w:tblGrid>
        <w:gridCol w:w="4218"/>
        <w:gridCol w:w="4639"/>
      </w:tblGrid>
      <w:tr w:rsidR="00DC59BD" w14:paraId="2B06A94A" w14:textId="77777777" w:rsidTr="00C419CF">
        <w:trPr>
          <w:trHeight w:hRule="exact" w:val="264"/>
        </w:trPr>
        <w:tc>
          <w:tcPr>
            <w:tcW w:w="4218" w:type="dxa"/>
            <w:shd w:val="clear" w:color="auto" w:fill="BFBFBF"/>
          </w:tcPr>
          <w:p w14:paraId="524FAC45" w14:textId="77777777" w:rsidR="00DC59BD" w:rsidRDefault="00DC59BD" w:rsidP="00C419CF">
            <w:pPr>
              <w:pStyle w:val="TableParagraph"/>
              <w:spacing w:line="243" w:lineRule="exact"/>
              <w:ind w:left="1"/>
              <w:rPr>
                <w:b/>
              </w:rPr>
            </w:pPr>
            <w:r>
              <w:rPr>
                <w:b/>
              </w:rPr>
              <w:t>Staff member completing form</w:t>
            </w:r>
          </w:p>
        </w:tc>
        <w:tc>
          <w:tcPr>
            <w:tcW w:w="4639" w:type="dxa"/>
          </w:tcPr>
          <w:p w14:paraId="5590B1ED" w14:textId="77777777" w:rsidR="00DC59BD" w:rsidRDefault="00DC59BD" w:rsidP="00C419CF"/>
        </w:tc>
      </w:tr>
      <w:tr w:rsidR="00DC59BD" w14:paraId="3E1B2DD4" w14:textId="77777777" w:rsidTr="00C419CF">
        <w:trPr>
          <w:trHeight w:hRule="exact" w:val="262"/>
        </w:trPr>
        <w:tc>
          <w:tcPr>
            <w:tcW w:w="4218" w:type="dxa"/>
            <w:shd w:val="clear" w:color="auto" w:fill="BFBFBF"/>
          </w:tcPr>
          <w:p w14:paraId="39994DB5" w14:textId="77777777" w:rsidR="00DC59BD" w:rsidRDefault="00DC59BD" w:rsidP="00C419CF">
            <w:pPr>
              <w:pStyle w:val="TableParagraph"/>
              <w:spacing w:line="243" w:lineRule="exact"/>
              <w:ind w:left="1"/>
              <w:rPr>
                <w:b/>
              </w:rPr>
            </w:pPr>
            <w:r>
              <w:rPr>
                <w:b/>
              </w:rPr>
              <w:t>Staff member signing-off compliance</w:t>
            </w:r>
          </w:p>
        </w:tc>
        <w:tc>
          <w:tcPr>
            <w:tcW w:w="4639" w:type="dxa"/>
          </w:tcPr>
          <w:p w14:paraId="4946D9B7" w14:textId="77777777" w:rsidR="00DC59BD" w:rsidRDefault="00DC59BD" w:rsidP="00C419CF"/>
        </w:tc>
      </w:tr>
      <w:tr w:rsidR="00DC59BD" w14:paraId="45443649" w14:textId="77777777" w:rsidTr="00C419CF">
        <w:trPr>
          <w:trHeight w:hRule="exact" w:val="262"/>
        </w:trPr>
        <w:tc>
          <w:tcPr>
            <w:tcW w:w="4218" w:type="dxa"/>
            <w:shd w:val="clear" w:color="auto" w:fill="BFBFBF"/>
          </w:tcPr>
          <w:p w14:paraId="33B9EA85" w14:textId="77777777" w:rsidR="00DC59BD" w:rsidRDefault="00DC59BD" w:rsidP="00C419CF">
            <w:pPr>
              <w:pStyle w:val="TableParagraph"/>
              <w:spacing w:line="243" w:lineRule="exact"/>
              <w:ind w:left="1"/>
              <w:rPr>
                <w:b/>
              </w:rPr>
            </w:pPr>
            <w:r>
              <w:rPr>
                <w:b/>
              </w:rPr>
              <w:t>Details of contract being reviewed</w:t>
            </w:r>
          </w:p>
        </w:tc>
        <w:tc>
          <w:tcPr>
            <w:tcW w:w="4639" w:type="dxa"/>
          </w:tcPr>
          <w:p w14:paraId="7E66B53F" w14:textId="77777777" w:rsidR="00DC59BD" w:rsidRDefault="00DC59BD" w:rsidP="00C419CF"/>
        </w:tc>
      </w:tr>
    </w:tbl>
    <w:p w14:paraId="64E366DC" w14:textId="77777777" w:rsidR="00DC59BD" w:rsidRDefault="00DC59BD" w:rsidP="00DC59BD">
      <w:pPr>
        <w:pStyle w:val="BodyText"/>
        <w:rPr>
          <w:b/>
          <w:sz w:val="21"/>
        </w:rPr>
      </w:pPr>
    </w:p>
    <w:p w14:paraId="02EDE5AF" w14:textId="77777777" w:rsidR="00DC59BD" w:rsidRDefault="00DC59BD" w:rsidP="00DC59BD">
      <w:pPr>
        <w:spacing w:before="1"/>
        <w:ind w:left="118" w:right="472"/>
        <w:rPr>
          <w:b/>
        </w:rPr>
      </w:pPr>
      <w:proofErr w:type="gramStart"/>
      <w:r>
        <w:rPr>
          <w:b/>
        </w:rPr>
        <w:t>All of</w:t>
      </w:r>
      <w:proofErr w:type="gramEnd"/>
      <w:r>
        <w:rPr>
          <w:b/>
        </w:rPr>
        <w:t xml:space="preserve"> the following requirements must be met. Answering ‘No’ to any would invalidate the contract from an IG perspective.</w:t>
      </w:r>
    </w:p>
    <w:p w14:paraId="7B91234B" w14:textId="77777777" w:rsidR="00DC59BD" w:rsidRDefault="00DC59BD" w:rsidP="00DC59BD">
      <w:pPr>
        <w:pStyle w:val="BodyText"/>
        <w:spacing w:before="10"/>
        <w:rPr>
          <w:b/>
        </w:rPr>
      </w:pPr>
    </w:p>
    <w:tbl>
      <w:tblPr>
        <w:tblW w:w="0" w:type="auto"/>
        <w:tblInd w:w="212"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firstRow="1" w:lastRow="1" w:firstColumn="1" w:lastColumn="1" w:noHBand="0" w:noVBand="0"/>
      </w:tblPr>
      <w:tblGrid>
        <w:gridCol w:w="5758"/>
        <w:gridCol w:w="730"/>
        <w:gridCol w:w="2412"/>
      </w:tblGrid>
      <w:tr w:rsidR="00DC59BD" w14:paraId="61B75C77" w14:textId="77777777" w:rsidTr="00C419CF">
        <w:trPr>
          <w:trHeight w:hRule="exact" w:val="520"/>
        </w:trPr>
        <w:tc>
          <w:tcPr>
            <w:tcW w:w="5758" w:type="dxa"/>
            <w:tcBorders>
              <w:bottom w:val="nil"/>
            </w:tcBorders>
            <w:shd w:val="clear" w:color="auto" w:fill="BFBFBF"/>
          </w:tcPr>
          <w:p w14:paraId="0A03E159" w14:textId="77777777" w:rsidR="00DC59BD" w:rsidRDefault="00DC59BD" w:rsidP="00C419CF">
            <w:pPr>
              <w:pStyle w:val="TableParagraph"/>
              <w:spacing w:before="115"/>
              <w:ind w:left="2"/>
              <w:rPr>
                <w:b/>
              </w:rPr>
            </w:pPr>
            <w:r>
              <w:rPr>
                <w:b/>
              </w:rPr>
              <w:t>Required contractual clause</w:t>
            </w:r>
          </w:p>
        </w:tc>
        <w:tc>
          <w:tcPr>
            <w:tcW w:w="730" w:type="dxa"/>
            <w:tcBorders>
              <w:bottom w:val="nil"/>
            </w:tcBorders>
            <w:shd w:val="clear" w:color="auto" w:fill="BFBFBF"/>
          </w:tcPr>
          <w:p w14:paraId="51E8C981" w14:textId="77777777" w:rsidR="00DC59BD" w:rsidRDefault="00DC59BD" w:rsidP="00C419CF">
            <w:pPr>
              <w:pStyle w:val="TableParagraph"/>
              <w:spacing w:line="237" w:lineRule="auto"/>
              <w:ind w:left="2" w:right="182"/>
              <w:rPr>
                <w:b/>
              </w:rPr>
            </w:pPr>
            <w:r>
              <w:rPr>
                <w:b/>
              </w:rPr>
              <w:t>Met (Y/N)</w:t>
            </w:r>
          </w:p>
        </w:tc>
        <w:tc>
          <w:tcPr>
            <w:tcW w:w="2412" w:type="dxa"/>
            <w:tcBorders>
              <w:bottom w:val="nil"/>
            </w:tcBorders>
            <w:shd w:val="clear" w:color="auto" w:fill="BFBFBF"/>
          </w:tcPr>
          <w:p w14:paraId="6A874037" w14:textId="77777777" w:rsidR="00DC59BD" w:rsidRDefault="00DC59BD" w:rsidP="00C419CF">
            <w:pPr>
              <w:pStyle w:val="TableParagraph"/>
              <w:spacing w:before="115"/>
              <w:ind w:left="2"/>
              <w:rPr>
                <w:b/>
              </w:rPr>
            </w:pPr>
            <w:r>
              <w:rPr>
                <w:b/>
              </w:rPr>
              <w:t>Comments</w:t>
            </w:r>
          </w:p>
        </w:tc>
      </w:tr>
      <w:tr w:rsidR="00DC59BD" w14:paraId="3F5A2FFA" w14:textId="77777777" w:rsidTr="00C419CF">
        <w:trPr>
          <w:trHeight w:hRule="exact" w:val="266"/>
        </w:trPr>
        <w:tc>
          <w:tcPr>
            <w:tcW w:w="8899" w:type="dxa"/>
            <w:gridSpan w:val="3"/>
            <w:tcBorders>
              <w:top w:val="nil"/>
              <w:left w:val="nil"/>
              <w:bottom w:val="nil"/>
              <w:right w:val="nil"/>
            </w:tcBorders>
            <w:shd w:val="clear" w:color="auto" w:fill="000000"/>
          </w:tcPr>
          <w:p w14:paraId="52631CF1" w14:textId="77777777" w:rsidR="00DC59BD" w:rsidRDefault="00DC59BD" w:rsidP="00C419CF">
            <w:pPr>
              <w:pStyle w:val="TableParagraph"/>
              <w:spacing w:before="2"/>
              <w:ind w:left="8"/>
              <w:rPr>
                <w:b/>
              </w:rPr>
            </w:pPr>
            <w:r>
              <w:rPr>
                <w:b/>
                <w:color w:val="FFFFFF"/>
              </w:rPr>
              <w:t>Data Protection and Cyber / Information Security</w:t>
            </w:r>
          </w:p>
        </w:tc>
      </w:tr>
      <w:tr w:rsidR="00DC59BD" w14:paraId="7535DC54" w14:textId="77777777" w:rsidTr="00C419CF">
        <w:trPr>
          <w:trHeight w:hRule="exact" w:val="517"/>
        </w:trPr>
        <w:tc>
          <w:tcPr>
            <w:tcW w:w="5758" w:type="dxa"/>
          </w:tcPr>
          <w:p w14:paraId="01EF6F47" w14:textId="77777777" w:rsidR="00DC59BD" w:rsidRDefault="00DC59BD" w:rsidP="00C419CF">
            <w:pPr>
              <w:pStyle w:val="TableParagraph"/>
              <w:ind w:left="2"/>
            </w:pPr>
            <w:r>
              <w:t xml:space="preserve">The Data Processor may only engage another processor with specific written </w:t>
            </w:r>
            <w:proofErr w:type="spellStart"/>
            <w:r>
              <w:t>authorisation</w:t>
            </w:r>
            <w:proofErr w:type="spellEnd"/>
            <w:r>
              <w:t xml:space="preserve"> of the Data Controller.</w:t>
            </w:r>
          </w:p>
        </w:tc>
        <w:tc>
          <w:tcPr>
            <w:tcW w:w="730" w:type="dxa"/>
          </w:tcPr>
          <w:p w14:paraId="598CA805" w14:textId="77777777" w:rsidR="00DC59BD" w:rsidRDefault="00DC59BD" w:rsidP="00C419CF"/>
        </w:tc>
        <w:tc>
          <w:tcPr>
            <w:tcW w:w="2412" w:type="dxa"/>
          </w:tcPr>
          <w:p w14:paraId="0416AEA0" w14:textId="77777777" w:rsidR="00DC59BD" w:rsidRDefault="00DC59BD" w:rsidP="00C419CF"/>
        </w:tc>
      </w:tr>
      <w:tr w:rsidR="00DC59BD" w14:paraId="1B7AE486" w14:textId="77777777" w:rsidTr="00C419CF">
        <w:trPr>
          <w:trHeight w:hRule="exact" w:val="1277"/>
        </w:trPr>
        <w:tc>
          <w:tcPr>
            <w:tcW w:w="5758" w:type="dxa"/>
          </w:tcPr>
          <w:p w14:paraId="2E52892A" w14:textId="77777777" w:rsidR="00DC59BD" w:rsidRDefault="00DC59BD" w:rsidP="00C419CF">
            <w:pPr>
              <w:pStyle w:val="TableParagraph"/>
              <w:ind w:left="2" w:right="244"/>
            </w:pPr>
            <w:r>
              <w:t>The Data Processor ensures that if they engage another Data Processor for carrying out specific processing activities on behalf of the Data Controller, they ensure the same Data Protection obligations are imposed on them.</w:t>
            </w:r>
          </w:p>
        </w:tc>
        <w:tc>
          <w:tcPr>
            <w:tcW w:w="730" w:type="dxa"/>
          </w:tcPr>
          <w:p w14:paraId="2F64D378" w14:textId="77777777" w:rsidR="00DC59BD" w:rsidRDefault="00DC59BD" w:rsidP="00C419CF"/>
        </w:tc>
        <w:tc>
          <w:tcPr>
            <w:tcW w:w="2412" w:type="dxa"/>
          </w:tcPr>
          <w:p w14:paraId="4A1179CF" w14:textId="77777777" w:rsidR="00DC59BD" w:rsidRDefault="00DC59BD" w:rsidP="00C419CF"/>
        </w:tc>
      </w:tr>
      <w:tr w:rsidR="00DC59BD" w14:paraId="755A3E49" w14:textId="77777777" w:rsidTr="00C419CF">
        <w:trPr>
          <w:trHeight w:hRule="exact" w:val="2122"/>
        </w:trPr>
        <w:tc>
          <w:tcPr>
            <w:tcW w:w="5758" w:type="dxa"/>
          </w:tcPr>
          <w:p w14:paraId="549DB8DA" w14:textId="77777777" w:rsidR="00DC59BD" w:rsidRDefault="00DC59BD" w:rsidP="00C419CF">
            <w:pPr>
              <w:pStyle w:val="TableParagraph"/>
              <w:spacing w:line="248" w:lineRule="exact"/>
              <w:ind w:left="2"/>
            </w:pPr>
            <w:r>
              <w:t>The following are defined:</w:t>
            </w:r>
          </w:p>
          <w:p w14:paraId="41C96AAC" w14:textId="77777777" w:rsidR="00DC59BD" w:rsidRDefault="00DC59BD" w:rsidP="00C419CF">
            <w:pPr>
              <w:pStyle w:val="TableParagraph"/>
              <w:numPr>
                <w:ilvl w:val="0"/>
                <w:numId w:val="1"/>
              </w:numPr>
              <w:tabs>
                <w:tab w:val="left" w:pos="465"/>
                <w:tab w:val="left" w:pos="466"/>
              </w:tabs>
              <w:spacing w:before="1" w:line="266" w:lineRule="exact"/>
              <w:ind w:firstLine="0"/>
            </w:pPr>
            <w:r>
              <w:t xml:space="preserve">Subject-matter and </w:t>
            </w:r>
            <w:r>
              <w:rPr>
                <w:spacing w:val="-3"/>
              </w:rPr>
              <w:t xml:space="preserve">duration of </w:t>
            </w:r>
            <w:r>
              <w:t>the</w:t>
            </w:r>
            <w:r>
              <w:rPr>
                <w:spacing w:val="-10"/>
              </w:rPr>
              <w:t xml:space="preserve"> </w:t>
            </w:r>
            <w:r>
              <w:t>processing.</w:t>
            </w:r>
          </w:p>
          <w:p w14:paraId="670E1C67" w14:textId="77777777" w:rsidR="00DC59BD" w:rsidRDefault="00DC59BD" w:rsidP="00C419CF">
            <w:pPr>
              <w:pStyle w:val="TableParagraph"/>
              <w:numPr>
                <w:ilvl w:val="0"/>
                <w:numId w:val="1"/>
              </w:numPr>
              <w:tabs>
                <w:tab w:val="left" w:pos="465"/>
                <w:tab w:val="left" w:pos="466"/>
              </w:tabs>
              <w:spacing w:line="265" w:lineRule="exact"/>
              <w:ind w:left="465" w:hanging="463"/>
            </w:pPr>
            <w:r>
              <w:t xml:space="preserve">Nature and purpose </w:t>
            </w:r>
            <w:r>
              <w:rPr>
                <w:spacing w:val="-3"/>
              </w:rPr>
              <w:t xml:space="preserve">of </w:t>
            </w:r>
            <w:r>
              <w:t>the</w:t>
            </w:r>
            <w:r>
              <w:rPr>
                <w:spacing w:val="-29"/>
              </w:rPr>
              <w:t xml:space="preserve"> </w:t>
            </w:r>
            <w:r>
              <w:t>processing.</w:t>
            </w:r>
          </w:p>
          <w:p w14:paraId="2364860B" w14:textId="77777777" w:rsidR="00DC59BD" w:rsidRDefault="00DC59BD" w:rsidP="00C419CF">
            <w:pPr>
              <w:pStyle w:val="TableParagraph"/>
              <w:numPr>
                <w:ilvl w:val="0"/>
                <w:numId w:val="1"/>
              </w:numPr>
              <w:tabs>
                <w:tab w:val="left" w:pos="465"/>
                <w:tab w:val="left" w:pos="466"/>
              </w:tabs>
              <w:spacing w:line="266" w:lineRule="exact"/>
              <w:ind w:left="465" w:hanging="463"/>
            </w:pPr>
            <w:r>
              <w:t xml:space="preserve">Type </w:t>
            </w:r>
            <w:r>
              <w:rPr>
                <w:spacing w:val="-3"/>
              </w:rPr>
              <w:t xml:space="preserve">of </w:t>
            </w:r>
            <w:r>
              <w:t>Personal</w:t>
            </w:r>
            <w:r>
              <w:rPr>
                <w:spacing w:val="-10"/>
              </w:rPr>
              <w:t xml:space="preserve"> </w:t>
            </w:r>
            <w:r>
              <w:t>Data.</w:t>
            </w:r>
          </w:p>
          <w:p w14:paraId="627719AD" w14:textId="77777777" w:rsidR="00DC59BD" w:rsidRDefault="00DC59BD" w:rsidP="00C419CF">
            <w:pPr>
              <w:pStyle w:val="TableParagraph"/>
              <w:numPr>
                <w:ilvl w:val="0"/>
                <w:numId w:val="1"/>
              </w:numPr>
              <w:tabs>
                <w:tab w:val="left" w:pos="465"/>
                <w:tab w:val="left" w:pos="466"/>
              </w:tabs>
              <w:spacing w:line="267" w:lineRule="exact"/>
              <w:ind w:left="465" w:hanging="463"/>
            </w:pPr>
            <w:r>
              <w:t xml:space="preserve">Categories </w:t>
            </w:r>
            <w:r>
              <w:rPr>
                <w:spacing w:val="-3"/>
              </w:rPr>
              <w:t xml:space="preserve">of </w:t>
            </w:r>
            <w:r>
              <w:t>Data</w:t>
            </w:r>
            <w:r>
              <w:rPr>
                <w:spacing w:val="-17"/>
              </w:rPr>
              <w:t xml:space="preserve"> </w:t>
            </w:r>
            <w:r>
              <w:t>Subjects.</w:t>
            </w:r>
          </w:p>
          <w:p w14:paraId="0E20FF35" w14:textId="77777777" w:rsidR="00DC59BD" w:rsidRDefault="00DC59BD" w:rsidP="00C419CF">
            <w:pPr>
              <w:pStyle w:val="TableParagraph"/>
              <w:numPr>
                <w:ilvl w:val="0"/>
                <w:numId w:val="1"/>
              </w:numPr>
              <w:tabs>
                <w:tab w:val="left" w:pos="465"/>
                <w:tab w:val="left" w:pos="466"/>
              </w:tabs>
              <w:spacing w:before="4"/>
              <w:ind w:right="965" w:firstLine="0"/>
            </w:pPr>
            <w:r>
              <w:t xml:space="preserve">Location </w:t>
            </w:r>
            <w:r>
              <w:rPr>
                <w:spacing w:val="-3"/>
              </w:rPr>
              <w:t xml:space="preserve">of </w:t>
            </w:r>
            <w:r>
              <w:t>primary data hosting and</w:t>
            </w:r>
            <w:r>
              <w:rPr>
                <w:spacing w:val="-23"/>
              </w:rPr>
              <w:t xml:space="preserve"> </w:t>
            </w:r>
            <w:r>
              <w:t>backup arrangements.</w:t>
            </w:r>
          </w:p>
          <w:p w14:paraId="22EB4350" w14:textId="77777777" w:rsidR="00DC59BD" w:rsidRDefault="00DC59BD" w:rsidP="00C419CF">
            <w:pPr>
              <w:pStyle w:val="TableParagraph"/>
              <w:numPr>
                <w:ilvl w:val="0"/>
                <w:numId w:val="1"/>
              </w:numPr>
              <w:tabs>
                <w:tab w:val="left" w:pos="465"/>
                <w:tab w:val="left" w:pos="466"/>
              </w:tabs>
              <w:spacing w:line="263" w:lineRule="exact"/>
              <w:ind w:left="465" w:hanging="463"/>
            </w:pPr>
            <w:r>
              <w:t xml:space="preserve">Obligations and rights </w:t>
            </w:r>
            <w:r>
              <w:rPr>
                <w:spacing w:val="-3"/>
              </w:rPr>
              <w:t xml:space="preserve">of </w:t>
            </w:r>
            <w:r>
              <w:t>the Data</w:t>
            </w:r>
            <w:r>
              <w:rPr>
                <w:spacing w:val="-40"/>
              </w:rPr>
              <w:t xml:space="preserve"> </w:t>
            </w:r>
            <w:r>
              <w:t>Controller.</w:t>
            </w:r>
          </w:p>
        </w:tc>
        <w:tc>
          <w:tcPr>
            <w:tcW w:w="730" w:type="dxa"/>
          </w:tcPr>
          <w:p w14:paraId="36820A3D" w14:textId="77777777" w:rsidR="00DC59BD" w:rsidRDefault="00DC59BD" w:rsidP="00C419CF"/>
        </w:tc>
        <w:tc>
          <w:tcPr>
            <w:tcW w:w="2412" w:type="dxa"/>
          </w:tcPr>
          <w:p w14:paraId="35CF8626" w14:textId="77777777" w:rsidR="00DC59BD" w:rsidRDefault="00DC59BD" w:rsidP="00C419CF"/>
        </w:tc>
      </w:tr>
      <w:tr w:rsidR="00DC59BD" w14:paraId="5642EA48" w14:textId="77777777" w:rsidTr="00C419CF">
        <w:trPr>
          <w:trHeight w:hRule="exact" w:val="516"/>
        </w:trPr>
        <w:tc>
          <w:tcPr>
            <w:tcW w:w="5758" w:type="dxa"/>
          </w:tcPr>
          <w:p w14:paraId="22147899" w14:textId="77777777" w:rsidR="00DC59BD" w:rsidRDefault="00DC59BD" w:rsidP="00C419CF">
            <w:pPr>
              <w:pStyle w:val="TableParagraph"/>
              <w:spacing w:line="252" w:lineRule="exact"/>
              <w:ind w:left="2"/>
            </w:pPr>
            <w:r>
              <w:t>The Data Processor will only process Personal Data on documented instructions from the Data Controller.</w:t>
            </w:r>
          </w:p>
        </w:tc>
        <w:tc>
          <w:tcPr>
            <w:tcW w:w="730" w:type="dxa"/>
          </w:tcPr>
          <w:p w14:paraId="066345A6" w14:textId="77777777" w:rsidR="00DC59BD" w:rsidRDefault="00DC59BD" w:rsidP="00C419CF"/>
        </w:tc>
        <w:tc>
          <w:tcPr>
            <w:tcW w:w="2412" w:type="dxa"/>
          </w:tcPr>
          <w:p w14:paraId="2973B065" w14:textId="77777777" w:rsidR="00DC59BD" w:rsidRDefault="00DC59BD" w:rsidP="00C419CF"/>
        </w:tc>
      </w:tr>
      <w:tr w:rsidR="00DC59BD" w14:paraId="4848E4A9" w14:textId="77777777" w:rsidTr="00C419CF">
        <w:trPr>
          <w:trHeight w:hRule="exact" w:val="1781"/>
        </w:trPr>
        <w:tc>
          <w:tcPr>
            <w:tcW w:w="5758" w:type="dxa"/>
          </w:tcPr>
          <w:p w14:paraId="6022B2F5" w14:textId="77777777" w:rsidR="00DC59BD" w:rsidRDefault="00DC59BD" w:rsidP="00C419CF">
            <w:pPr>
              <w:pStyle w:val="TableParagraph"/>
              <w:ind w:left="2" w:right="181"/>
            </w:pPr>
            <w:r>
              <w:t xml:space="preserve">The Data Processor </w:t>
            </w:r>
            <w:r>
              <w:rPr>
                <w:spacing w:val="-4"/>
              </w:rPr>
              <w:t xml:space="preserve">will </w:t>
            </w:r>
            <w:r>
              <w:t xml:space="preserve">only transfer Personal Data to a third country </w:t>
            </w:r>
            <w:r>
              <w:rPr>
                <w:spacing w:val="-3"/>
              </w:rPr>
              <w:t xml:space="preserve">or </w:t>
            </w:r>
            <w:r>
              <w:t xml:space="preserve">international </w:t>
            </w:r>
            <w:proofErr w:type="spellStart"/>
            <w:r>
              <w:t>organisation</w:t>
            </w:r>
            <w:proofErr w:type="spellEnd"/>
            <w:r>
              <w:t xml:space="preserve"> where</w:t>
            </w:r>
            <w:r>
              <w:rPr>
                <w:spacing w:val="-44"/>
              </w:rPr>
              <w:t xml:space="preserve"> </w:t>
            </w:r>
            <w:r>
              <w:t xml:space="preserve">there are appropriate safeguards and only </w:t>
            </w:r>
            <w:r>
              <w:rPr>
                <w:spacing w:val="-3"/>
              </w:rPr>
              <w:t xml:space="preserve">if </w:t>
            </w:r>
            <w:r>
              <w:t xml:space="preserve">Data Subject rights are </w:t>
            </w:r>
            <w:r>
              <w:rPr>
                <w:spacing w:val="-3"/>
              </w:rPr>
              <w:t xml:space="preserve">legally </w:t>
            </w:r>
            <w:r>
              <w:t xml:space="preserve">enforceable there; typically, this means an approved third country </w:t>
            </w:r>
            <w:r>
              <w:rPr>
                <w:spacing w:val="-3"/>
              </w:rPr>
              <w:t xml:space="preserve">with </w:t>
            </w:r>
            <w:r>
              <w:t xml:space="preserve">an adequacy decision by a Supervisory Authority, Binding Corporate Rules, </w:t>
            </w:r>
            <w:r>
              <w:rPr>
                <w:spacing w:val="-3"/>
              </w:rPr>
              <w:t xml:space="preserve">or </w:t>
            </w:r>
            <w:r>
              <w:t xml:space="preserve">the use </w:t>
            </w:r>
            <w:r>
              <w:rPr>
                <w:spacing w:val="-3"/>
              </w:rPr>
              <w:t xml:space="preserve">of </w:t>
            </w:r>
            <w:r>
              <w:t>model contract</w:t>
            </w:r>
            <w:r>
              <w:rPr>
                <w:spacing w:val="-16"/>
              </w:rPr>
              <w:t xml:space="preserve"> </w:t>
            </w:r>
            <w:r>
              <w:t>clauses.</w:t>
            </w:r>
          </w:p>
        </w:tc>
        <w:tc>
          <w:tcPr>
            <w:tcW w:w="730" w:type="dxa"/>
          </w:tcPr>
          <w:p w14:paraId="2E3842F0" w14:textId="77777777" w:rsidR="00DC59BD" w:rsidRDefault="00DC59BD" w:rsidP="00C419CF"/>
        </w:tc>
        <w:tc>
          <w:tcPr>
            <w:tcW w:w="2412" w:type="dxa"/>
          </w:tcPr>
          <w:p w14:paraId="3F6CB42C" w14:textId="77777777" w:rsidR="00DC59BD" w:rsidRDefault="00DC59BD" w:rsidP="00C419CF"/>
        </w:tc>
      </w:tr>
    </w:tbl>
    <w:p w14:paraId="2F78F7B8" w14:textId="77777777" w:rsidR="00DC59BD" w:rsidRDefault="00DC59BD" w:rsidP="00DC59BD">
      <w:pPr>
        <w:sectPr w:rsidR="00DC59BD" w:rsidSect="00E847FE">
          <w:pgSz w:w="12240" w:h="15840"/>
          <w:pgMar w:top="1360" w:right="1420" w:bottom="1200" w:left="1580" w:header="0" w:footer="937" w:gutter="0"/>
          <w:cols w:space="720"/>
        </w:sectPr>
      </w:pPr>
    </w:p>
    <w:tbl>
      <w:tblPr>
        <w:tblW w:w="0" w:type="auto"/>
        <w:tblInd w:w="212"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firstRow="1" w:lastRow="1" w:firstColumn="1" w:lastColumn="1" w:noHBand="0" w:noVBand="0"/>
      </w:tblPr>
      <w:tblGrid>
        <w:gridCol w:w="5758"/>
        <w:gridCol w:w="730"/>
        <w:gridCol w:w="2412"/>
      </w:tblGrid>
      <w:tr w:rsidR="00DC59BD" w14:paraId="2D529CD2" w14:textId="77777777" w:rsidTr="00C419CF">
        <w:trPr>
          <w:trHeight w:hRule="exact" w:val="526"/>
        </w:trPr>
        <w:tc>
          <w:tcPr>
            <w:tcW w:w="5758" w:type="dxa"/>
            <w:tcBorders>
              <w:bottom w:val="single" w:sz="5" w:space="0" w:color="FFFFFF"/>
            </w:tcBorders>
            <w:shd w:val="clear" w:color="auto" w:fill="BFBFBF"/>
          </w:tcPr>
          <w:p w14:paraId="4EC41CE4" w14:textId="77777777" w:rsidR="00DC59BD" w:rsidRDefault="00DC59BD" w:rsidP="00C419CF">
            <w:pPr>
              <w:pStyle w:val="TableParagraph"/>
              <w:spacing w:before="115"/>
              <w:ind w:left="2"/>
              <w:rPr>
                <w:b/>
              </w:rPr>
            </w:pPr>
            <w:r>
              <w:rPr>
                <w:b/>
              </w:rPr>
              <w:lastRenderedPageBreak/>
              <w:t>Required contractual clause</w:t>
            </w:r>
          </w:p>
        </w:tc>
        <w:tc>
          <w:tcPr>
            <w:tcW w:w="730" w:type="dxa"/>
            <w:tcBorders>
              <w:bottom w:val="single" w:sz="5" w:space="0" w:color="FFFFFF"/>
            </w:tcBorders>
            <w:shd w:val="clear" w:color="auto" w:fill="BFBFBF"/>
          </w:tcPr>
          <w:p w14:paraId="549548DE" w14:textId="77777777" w:rsidR="00DC59BD" w:rsidRDefault="00DC59BD" w:rsidP="00C419CF">
            <w:pPr>
              <w:pStyle w:val="TableParagraph"/>
              <w:ind w:left="2" w:right="182"/>
              <w:rPr>
                <w:b/>
              </w:rPr>
            </w:pPr>
            <w:r>
              <w:rPr>
                <w:b/>
              </w:rPr>
              <w:t>Met (Y/N)</w:t>
            </w:r>
          </w:p>
        </w:tc>
        <w:tc>
          <w:tcPr>
            <w:tcW w:w="2412" w:type="dxa"/>
            <w:tcBorders>
              <w:bottom w:val="single" w:sz="5" w:space="0" w:color="FFFFFF"/>
            </w:tcBorders>
            <w:shd w:val="clear" w:color="auto" w:fill="BFBFBF"/>
          </w:tcPr>
          <w:p w14:paraId="7E195804" w14:textId="77777777" w:rsidR="00DC59BD" w:rsidRDefault="00DC59BD" w:rsidP="00C419CF">
            <w:pPr>
              <w:pStyle w:val="TableParagraph"/>
              <w:spacing w:before="115"/>
              <w:ind w:left="2"/>
              <w:rPr>
                <w:b/>
              </w:rPr>
            </w:pPr>
            <w:r>
              <w:rPr>
                <w:b/>
              </w:rPr>
              <w:t>Comments</w:t>
            </w:r>
          </w:p>
        </w:tc>
      </w:tr>
      <w:tr w:rsidR="00DC59BD" w14:paraId="0485937E" w14:textId="77777777" w:rsidTr="00C419CF">
        <w:trPr>
          <w:trHeight w:hRule="exact" w:val="264"/>
        </w:trPr>
        <w:tc>
          <w:tcPr>
            <w:tcW w:w="8899" w:type="dxa"/>
            <w:gridSpan w:val="3"/>
            <w:tcBorders>
              <w:top w:val="single" w:sz="5" w:space="0" w:color="FFFFFF"/>
              <w:left w:val="nil"/>
              <w:bottom w:val="nil"/>
              <w:right w:val="nil"/>
            </w:tcBorders>
            <w:shd w:val="clear" w:color="auto" w:fill="000000"/>
          </w:tcPr>
          <w:p w14:paraId="5556F86F" w14:textId="77777777" w:rsidR="00DC59BD" w:rsidRDefault="00DC59BD" w:rsidP="00C419CF">
            <w:pPr>
              <w:pStyle w:val="TableParagraph"/>
              <w:spacing w:line="243" w:lineRule="exact"/>
              <w:ind w:left="8"/>
              <w:rPr>
                <w:b/>
              </w:rPr>
            </w:pPr>
            <w:r>
              <w:rPr>
                <w:b/>
                <w:color w:val="FFFFFF"/>
              </w:rPr>
              <w:t>General</w:t>
            </w:r>
          </w:p>
        </w:tc>
      </w:tr>
      <w:tr w:rsidR="00DC59BD" w14:paraId="5E9798BD" w14:textId="77777777" w:rsidTr="00C419CF">
        <w:trPr>
          <w:trHeight w:hRule="exact" w:val="262"/>
        </w:trPr>
        <w:tc>
          <w:tcPr>
            <w:tcW w:w="5758" w:type="dxa"/>
          </w:tcPr>
          <w:p w14:paraId="13780219" w14:textId="77777777" w:rsidR="00DC59BD" w:rsidRDefault="00DC59BD" w:rsidP="00C419CF">
            <w:pPr>
              <w:pStyle w:val="TableParagraph"/>
              <w:spacing w:line="248" w:lineRule="exact"/>
              <w:ind w:left="2"/>
            </w:pPr>
            <w:r>
              <w:t>Penalties for breach of IG clauses are detailed.</w:t>
            </w:r>
          </w:p>
        </w:tc>
        <w:tc>
          <w:tcPr>
            <w:tcW w:w="730" w:type="dxa"/>
          </w:tcPr>
          <w:p w14:paraId="7DF52AD5" w14:textId="77777777" w:rsidR="00DC59BD" w:rsidRDefault="00DC59BD" w:rsidP="00C419CF"/>
        </w:tc>
        <w:tc>
          <w:tcPr>
            <w:tcW w:w="2412" w:type="dxa"/>
          </w:tcPr>
          <w:p w14:paraId="41791E99" w14:textId="77777777" w:rsidR="00DC59BD" w:rsidRDefault="00DC59BD" w:rsidP="00C419CF"/>
        </w:tc>
      </w:tr>
      <w:tr w:rsidR="00DC59BD" w14:paraId="3F0A05E6" w14:textId="77777777" w:rsidTr="00C419CF">
        <w:trPr>
          <w:trHeight w:hRule="exact" w:val="516"/>
        </w:trPr>
        <w:tc>
          <w:tcPr>
            <w:tcW w:w="5758" w:type="dxa"/>
          </w:tcPr>
          <w:p w14:paraId="78CB7D99" w14:textId="77777777" w:rsidR="00DC59BD" w:rsidRDefault="00DC59BD" w:rsidP="00C419CF">
            <w:pPr>
              <w:pStyle w:val="TableParagraph"/>
              <w:spacing w:line="252" w:lineRule="exact"/>
              <w:ind w:left="2" w:right="244"/>
            </w:pPr>
            <w:r>
              <w:t>Provisions to indemnify the Trust against breaches by the third party are outlined.</w:t>
            </w:r>
          </w:p>
        </w:tc>
        <w:tc>
          <w:tcPr>
            <w:tcW w:w="730" w:type="dxa"/>
          </w:tcPr>
          <w:p w14:paraId="319E48D9" w14:textId="77777777" w:rsidR="00DC59BD" w:rsidRDefault="00DC59BD" w:rsidP="00C419CF"/>
        </w:tc>
        <w:tc>
          <w:tcPr>
            <w:tcW w:w="2412" w:type="dxa"/>
          </w:tcPr>
          <w:p w14:paraId="205D86D3" w14:textId="77777777" w:rsidR="00DC59BD" w:rsidRDefault="00DC59BD" w:rsidP="00C419CF"/>
        </w:tc>
      </w:tr>
      <w:tr w:rsidR="00DC59BD" w14:paraId="489237CB" w14:textId="77777777" w:rsidTr="00C419CF">
        <w:trPr>
          <w:trHeight w:hRule="exact" w:val="516"/>
        </w:trPr>
        <w:tc>
          <w:tcPr>
            <w:tcW w:w="5758" w:type="dxa"/>
          </w:tcPr>
          <w:p w14:paraId="7E9119B3" w14:textId="77777777" w:rsidR="00DC59BD" w:rsidRDefault="00DC59BD" w:rsidP="00C419CF">
            <w:pPr>
              <w:pStyle w:val="TableParagraph"/>
              <w:spacing w:line="252" w:lineRule="exact"/>
              <w:ind w:left="2"/>
            </w:pPr>
            <w:r>
              <w:t>Responsibilities for costs, e.g. for Information Security audit, Subject Access Requests and FOI etc.</w:t>
            </w:r>
          </w:p>
        </w:tc>
        <w:tc>
          <w:tcPr>
            <w:tcW w:w="730" w:type="dxa"/>
          </w:tcPr>
          <w:p w14:paraId="1F93DD5E" w14:textId="77777777" w:rsidR="00DC59BD" w:rsidRDefault="00DC59BD" w:rsidP="00C419CF"/>
        </w:tc>
        <w:tc>
          <w:tcPr>
            <w:tcW w:w="2412" w:type="dxa"/>
          </w:tcPr>
          <w:p w14:paraId="06A02403" w14:textId="77777777" w:rsidR="00DC59BD" w:rsidRDefault="00DC59BD" w:rsidP="00C419CF"/>
        </w:tc>
      </w:tr>
      <w:tr w:rsidR="00DC59BD" w14:paraId="72A7556C" w14:textId="77777777" w:rsidTr="00C419CF">
        <w:trPr>
          <w:trHeight w:hRule="exact" w:val="770"/>
        </w:trPr>
        <w:tc>
          <w:tcPr>
            <w:tcW w:w="5758" w:type="dxa"/>
          </w:tcPr>
          <w:p w14:paraId="2C734322" w14:textId="77777777" w:rsidR="00DC59BD" w:rsidRDefault="00DC59BD" w:rsidP="00C419CF">
            <w:pPr>
              <w:pStyle w:val="TableParagraph"/>
              <w:spacing w:line="242" w:lineRule="auto"/>
              <w:ind w:left="2" w:right="228"/>
              <w:jc w:val="both"/>
            </w:pPr>
            <w:r>
              <w:t xml:space="preserve">The Data Processor </w:t>
            </w:r>
            <w:r>
              <w:rPr>
                <w:spacing w:val="-5"/>
              </w:rPr>
              <w:t xml:space="preserve">will </w:t>
            </w:r>
            <w:r>
              <w:t xml:space="preserve">allow Data Protection and related compliance audits </w:t>
            </w:r>
            <w:r>
              <w:rPr>
                <w:spacing w:val="-3"/>
              </w:rPr>
              <w:t xml:space="preserve">of </w:t>
            </w:r>
            <w:r>
              <w:t xml:space="preserve">the service </w:t>
            </w:r>
            <w:r>
              <w:rPr>
                <w:spacing w:val="-3"/>
              </w:rPr>
              <w:t xml:space="preserve">provided </w:t>
            </w:r>
            <w:r>
              <w:t xml:space="preserve">(without notice where possible or </w:t>
            </w:r>
            <w:r>
              <w:rPr>
                <w:spacing w:val="-3"/>
              </w:rPr>
              <w:t xml:space="preserve">at </w:t>
            </w:r>
            <w:r>
              <w:t>24 hours’</w:t>
            </w:r>
            <w:r>
              <w:rPr>
                <w:spacing w:val="-40"/>
              </w:rPr>
              <w:t xml:space="preserve"> </w:t>
            </w:r>
            <w:r>
              <w:t>notice).</w:t>
            </w:r>
          </w:p>
        </w:tc>
        <w:tc>
          <w:tcPr>
            <w:tcW w:w="730" w:type="dxa"/>
          </w:tcPr>
          <w:p w14:paraId="5CE347C4" w14:textId="77777777" w:rsidR="00DC59BD" w:rsidRDefault="00DC59BD" w:rsidP="00C419CF"/>
        </w:tc>
        <w:tc>
          <w:tcPr>
            <w:tcW w:w="2412" w:type="dxa"/>
          </w:tcPr>
          <w:p w14:paraId="164510EF" w14:textId="77777777" w:rsidR="00DC59BD" w:rsidRDefault="00DC59BD" w:rsidP="00C419CF"/>
        </w:tc>
      </w:tr>
    </w:tbl>
    <w:p w14:paraId="1884FDB5" w14:textId="77777777" w:rsidR="00DC59BD" w:rsidRDefault="00DC59BD" w:rsidP="00DC59BD">
      <w:pPr>
        <w:pStyle w:val="BodyText"/>
        <w:spacing w:before="8"/>
        <w:rPr>
          <w:b/>
          <w:sz w:val="12"/>
        </w:rPr>
      </w:pPr>
    </w:p>
    <w:p w14:paraId="4105CAC4" w14:textId="77777777" w:rsidR="00DC59BD" w:rsidRDefault="00DC59BD" w:rsidP="00DC59BD">
      <w:pPr>
        <w:spacing w:before="94"/>
        <w:ind w:left="119"/>
        <w:rPr>
          <w:b/>
        </w:rPr>
      </w:pPr>
      <w:bookmarkStart w:id="1" w:name="I_confirm_all_IG_requirements_for_this_c"/>
      <w:bookmarkEnd w:id="1"/>
      <w:r>
        <w:rPr>
          <w:b/>
        </w:rPr>
        <w:t>I confirm all IG requirements for this contract are met:</w:t>
      </w:r>
    </w:p>
    <w:p w14:paraId="16409C05" w14:textId="77777777" w:rsidR="00DC59BD" w:rsidRDefault="00DC59BD" w:rsidP="00DC59BD">
      <w:pPr>
        <w:pStyle w:val="BodyText"/>
        <w:spacing w:before="10"/>
        <w:rPr>
          <w:b/>
        </w:rPr>
      </w:pPr>
    </w:p>
    <w:tbl>
      <w:tblPr>
        <w:tblW w:w="0" w:type="auto"/>
        <w:tblInd w:w="213"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firstRow="1" w:lastRow="1" w:firstColumn="1" w:lastColumn="1" w:noHBand="0" w:noVBand="0"/>
      </w:tblPr>
      <w:tblGrid>
        <w:gridCol w:w="3227"/>
        <w:gridCol w:w="5630"/>
      </w:tblGrid>
      <w:tr w:rsidR="00DC59BD" w14:paraId="3781ED74" w14:textId="77777777" w:rsidTr="00C419CF">
        <w:trPr>
          <w:trHeight w:hRule="exact" w:val="264"/>
        </w:trPr>
        <w:tc>
          <w:tcPr>
            <w:tcW w:w="3227" w:type="dxa"/>
            <w:shd w:val="clear" w:color="auto" w:fill="BFBFBF"/>
          </w:tcPr>
          <w:p w14:paraId="47AE24FD" w14:textId="77777777" w:rsidR="00DC59BD" w:rsidRDefault="00DC59BD" w:rsidP="00C419CF">
            <w:pPr>
              <w:pStyle w:val="TableParagraph"/>
              <w:spacing w:line="243" w:lineRule="exact"/>
              <w:ind w:left="1"/>
              <w:rPr>
                <w:b/>
              </w:rPr>
            </w:pPr>
            <w:r>
              <w:rPr>
                <w:b/>
              </w:rPr>
              <w:t>Signed (or email embedded)</w:t>
            </w:r>
          </w:p>
        </w:tc>
        <w:tc>
          <w:tcPr>
            <w:tcW w:w="5630" w:type="dxa"/>
          </w:tcPr>
          <w:p w14:paraId="7ECDC816" w14:textId="77777777" w:rsidR="00DC59BD" w:rsidRDefault="00DC59BD" w:rsidP="00C419CF"/>
        </w:tc>
      </w:tr>
      <w:tr w:rsidR="00DC59BD" w14:paraId="55264838" w14:textId="77777777" w:rsidTr="00C419CF">
        <w:trPr>
          <w:trHeight w:hRule="exact" w:val="262"/>
        </w:trPr>
        <w:tc>
          <w:tcPr>
            <w:tcW w:w="3227" w:type="dxa"/>
            <w:shd w:val="clear" w:color="auto" w:fill="BFBFBF"/>
          </w:tcPr>
          <w:p w14:paraId="0E7F3F8E" w14:textId="77777777" w:rsidR="00DC59BD" w:rsidRDefault="00DC59BD" w:rsidP="00C419CF">
            <w:pPr>
              <w:pStyle w:val="TableParagraph"/>
              <w:spacing w:line="243" w:lineRule="exact"/>
              <w:ind w:left="1"/>
              <w:rPr>
                <w:b/>
              </w:rPr>
            </w:pPr>
            <w:r>
              <w:rPr>
                <w:b/>
              </w:rPr>
              <w:t>Name</w:t>
            </w:r>
          </w:p>
        </w:tc>
        <w:tc>
          <w:tcPr>
            <w:tcW w:w="5630" w:type="dxa"/>
          </w:tcPr>
          <w:p w14:paraId="42B5D7D8" w14:textId="77777777" w:rsidR="00DC59BD" w:rsidRDefault="00DC59BD" w:rsidP="00C419CF"/>
        </w:tc>
      </w:tr>
      <w:tr w:rsidR="00DC59BD" w14:paraId="67013622" w14:textId="77777777" w:rsidTr="00C419CF">
        <w:trPr>
          <w:trHeight w:hRule="exact" w:val="264"/>
        </w:trPr>
        <w:tc>
          <w:tcPr>
            <w:tcW w:w="3227" w:type="dxa"/>
            <w:shd w:val="clear" w:color="auto" w:fill="BFBFBF"/>
          </w:tcPr>
          <w:p w14:paraId="38AD6283" w14:textId="77777777" w:rsidR="00DC59BD" w:rsidRDefault="00DC59BD" w:rsidP="00C419CF">
            <w:pPr>
              <w:pStyle w:val="TableParagraph"/>
              <w:spacing w:line="243" w:lineRule="exact"/>
              <w:ind w:left="1"/>
              <w:rPr>
                <w:b/>
              </w:rPr>
            </w:pPr>
            <w:r>
              <w:rPr>
                <w:b/>
              </w:rPr>
              <w:t>Designation</w:t>
            </w:r>
          </w:p>
        </w:tc>
        <w:tc>
          <w:tcPr>
            <w:tcW w:w="5630" w:type="dxa"/>
          </w:tcPr>
          <w:p w14:paraId="6EA91115" w14:textId="77777777" w:rsidR="00DC59BD" w:rsidRDefault="00DC59BD" w:rsidP="00C419CF"/>
        </w:tc>
      </w:tr>
      <w:tr w:rsidR="00DC59BD" w14:paraId="344D441A" w14:textId="77777777" w:rsidTr="00C419CF">
        <w:trPr>
          <w:trHeight w:hRule="exact" w:val="264"/>
        </w:trPr>
        <w:tc>
          <w:tcPr>
            <w:tcW w:w="3227" w:type="dxa"/>
            <w:shd w:val="clear" w:color="auto" w:fill="BFBFBF"/>
          </w:tcPr>
          <w:p w14:paraId="34869895" w14:textId="77777777" w:rsidR="00DC59BD" w:rsidRDefault="00DC59BD" w:rsidP="00C419CF">
            <w:pPr>
              <w:pStyle w:val="TableParagraph"/>
              <w:spacing w:line="243" w:lineRule="exact"/>
              <w:ind w:left="1"/>
              <w:rPr>
                <w:b/>
              </w:rPr>
            </w:pPr>
            <w:r>
              <w:rPr>
                <w:b/>
              </w:rPr>
              <w:t>Date</w:t>
            </w:r>
          </w:p>
        </w:tc>
        <w:tc>
          <w:tcPr>
            <w:tcW w:w="5630" w:type="dxa"/>
          </w:tcPr>
          <w:p w14:paraId="2A986AFD" w14:textId="77777777" w:rsidR="00DC59BD" w:rsidRDefault="00DC59BD" w:rsidP="00C419CF"/>
        </w:tc>
      </w:tr>
    </w:tbl>
    <w:p w14:paraId="7D6228B8" w14:textId="77777777" w:rsidR="00474179" w:rsidRDefault="00474179"/>
    <w:sectPr w:rsidR="0047417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F53B4B"/>
    <w:multiLevelType w:val="hybridMultilevel"/>
    <w:tmpl w:val="E3A60518"/>
    <w:lvl w:ilvl="0" w:tplc="AA202DD4">
      <w:numFmt w:val="bullet"/>
      <w:lvlText w:val=""/>
      <w:lvlJc w:val="left"/>
      <w:pPr>
        <w:ind w:left="2" w:hanging="464"/>
      </w:pPr>
      <w:rPr>
        <w:rFonts w:ascii="Symbol" w:eastAsia="Symbol" w:hAnsi="Symbol" w:cs="Symbol" w:hint="default"/>
        <w:w w:val="100"/>
        <w:sz w:val="22"/>
        <w:szCs w:val="22"/>
      </w:rPr>
    </w:lvl>
    <w:lvl w:ilvl="1" w:tplc="71E6EDB2">
      <w:numFmt w:val="bullet"/>
      <w:lvlText w:val="•"/>
      <w:lvlJc w:val="left"/>
      <w:pPr>
        <w:ind w:left="574" w:hanging="464"/>
      </w:pPr>
      <w:rPr>
        <w:rFonts w:hint="default"/>
      </w:rPr>
    </w:lvl>
    <w:lvl w:ilvl="2" w:tplc="4FCE181A">
      <w:numFmt w:val="bullet"/>
      <w:lvlText w:val="•"/>
      <w:lvlJc w:val="left"/>
      <w:pPr>
        <w:ind w:left="1149" w:hanging="464"/>
      </w:pPr>
      <w:rPr>
        <w:rFonts w:hint="default"/>
      </w:rPr>
    </w:lvl>
    <w:lvl w:ilvl="3" w:tplc="DF46FC6A">
      <w:numFmt w:val="bullet"/>
      <w:lvlText w:val="•"/>
      <w:lvlJc w:val="left"/>
      <w:pPr>
        <w:ind w:left="1723" w:hanging="464"/>
      </w:pPr>
      <w:rPr>
        <w:rFonts w:hint="default"/>
      </w:rPr>
    </w:lvl>
    <w:lvl w:ilvl="4" w:tplc="39F4C692">
      <w:numFmt w:val="bullet"/>
      <w:lvlText w:val="•"/>
      <w:lvlJc w:val="left"/>
      <w:pPr>
        <w:ind w:left="2298" w:hanging="464"/>
      </w:pPr>
      <w:rPr>
        <w:rFonts w:hint="default"/>
      </w:rPr>
    </w:lvl>
    <w:lvl w:ilvl="5" w:tplc="55F2A4CE">
      <w:numFmt w:val="bullet"/>
      <w:lvlText w:val="•"/>
      <w:lvlJc w:val="left"/>
      <w:pPr>
        <w:ind w:left="2872" w:hanging="464"/>
      </w:pPr>
      <w:rPr>
        <w:rFonts w:hint="default"/>
      </w:rPr>
    </w:lvl>
    <w:lvl w:ilvl="6" w:tplc="1124012E">
      <w:numFmt w:val="bullet"/>
      <w:lvlText w:val="•"/>
      <w:lvlJc w:val="left"/>
      <w:pPr>
        <w:ind w:left="3447" w:hanging="464"/>
      </w:pPr>
      <w:rPr>
        <w:rFonts w:hint="default"/>
      </w:rPr>
    </w:lvl>
    <w:lvl w:ilvl="7" w:tplc="81CA940E">
      <w:numFmt w:val="bullet"/>
      <w:lvlText w:val="•"/>
      <w:lvlJc w:val="left"/>
      <w:pPr>
        <w:ind w:left="4021" w:hanging="464"/>
      </w:pPr>
      <w:rPr>
        <w:rFonts w:hint="default"/>
      </w:rPr>
    </w:lvl>
    <w:lvl w:ilvl="8" w:tplc="63DEC850">
      <w:numFmt w:val="bullet"/>
      <w:lvlText w:val="•"/>
      <w:lvlJc w:val="left"/>
      <w:pPr>
        <w:ind w:left="4596" w:hanging="464"/>
      </w:pPr>
      <w:rPr>
        <w:rFonts w:hint="default"/>
      </w:rPr>
    </w:lvl>
  </w:abstractNum>
  <w:num w:numId="1" w16cid:durableId="6818544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59BD"/>
    <w:rsid w:val="00474179"/>
    <w:rsid w:val="00DC59BD"/>
    <w:rsid w:val="00E847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7362F1"/>
  <w15:chartTrackingRefBased/>
  <w15:docId w15:val="{5F20CEFB-126C-4E75-A9BE-C3AD01EDC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DC59BD"/>
    <w:pPr>
      <w:widowControl w:val="0"/>
      <w:autoSpaceDE w:val="0"/>
      <w:autoSpaceDN w:val="0"/>
      <w:spacing w:after="0" w:line="240" w:lineRule="auto"/>
    </w:pPr>
    <w:rPr>
      <w:rFonts w:ascii="Arial" w:eastAsia="Arial" w:hAnsi="Arial" w:cs="Arial"/>
      <w:kern w:val="0"/>
      <w:lang w:val="en-US"/>
      <w14:ligatures w14:val="none"/>
    </w:rPr>
  </w:style>
  <w:style w:type="paragraph" w:styleId="Heading2">
    <w:name w:val="heading 2"/>
    <w:basedOn w:val="Normal"/>
    <w:link w:val="Heading2Char"/>
    <w:uiPriority w:val="1"/>
    <w:qFormat/>
    <w:rsid w:val="00DC59BD"/>
    <w:pPr>
      <w:ind w:left="119" w:hanging="461"/>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DC59BD"/>
    <w:rPr>
      <w:rFonts w:ascii="Arial" w:eastAsia="Arial" w:hAnsi="Arial" w:cs="Arial"/>
      <w:b/>
      <w:bCs/>
      <w:kern w:val="0"/>
      <w:lang w:val="en-US"/>
      <w14:ligatures w14:val="none"/>
    </w:rPr>
  </w:style>
  <w:style w:type="paragraph" w:styleId="BodyText">
    <w:name w:val="Body Text"/>
    <w:basedOn w:val="Normal"/>
    <w:link w:val="BodyTextChar"/>
    <w:uiPriority w:val="1"/>
    <w:qFormat/>
    <w:rsid w:val="00DC59BD"/>
  </w:style>
  <w:style w:type="character" w:customStyle="1" w:styleId="BodyTextChar">
    <w:name w:val="Body Text Char"/>
    <w:basedOn w:val="DefaultParagraphFont"/>
    <w:link w:val="BodyText"/>
    <w:uiPriority w:val="1"/>
    <w:rsid w:val="00DC59BD"/>
    <w:rPr>
      <w:rFonts w:ascii="Arial" w:eastAsia="Arial" w:hAnsi="Arial" w:cs="Arial"/>
      <w:kern w:val="0"/>
      <w:lang w:val="en-US"/>
      <w14:ligatures w14:val="none"/>
    </w:rPr>
  </w:style>
  <w:style w:type="paragraph" w:customStyle="1" w:styleId="TableParagraph">
    <w:name w:val="Table Paragraph"/>
    <w:basedOn w:val="Normal"/>
    <w:uiPriority w:val="1"/>
    <w:qFormat/>
    <w:rsid w:val="00DC59BD"/>
    <w:pPr>
      <w:ind w:left="103"/>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753</Words>
  <Characters>4298</Characters>
  <Application>Microsoft Office Word</Application>
  <DocSecurity>0</DocSecurity>
  <Lines>35</Lines>
  <Paragraphs>10</Paragraphs>
  <ScaleCrop>false</ScaleCrop>
  <Company/>
  <LinksUpToDate>false</LinksUpToDate>
  <CharactersWithSpaces>5041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ANIEMEKA, Mark (ROTHERHAM DONCASTER AND SOUTH HUMBER NHS FOUNDATION TRUST)</dc:creator>
  <cp:keywords/>
  <dc:description/>
  <cp:lastModifiedBy>ANIEMEKA, Mark (ROTHERHAM DONCASTER AND SOUTH HUMBER NHS FOUNDATION TRUST)</cp:lastModifiedBy>
  <cp:revision>1</cp:revision>
  <dcterms:created xsi:type="dcterms:W3CDTF">2024-03-07T12:30:00Z</dcterms:created>
  <dcterms:modified xsi:type="dcterms:W3CDTF">2024-03-07T12:31:00Z</dcterms:modified>
</cp:coreProperties>
</file>