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7468" w14:textId="77777777" w:rsidR="004568A4" w:rsidRDefault="004568A4" w:rsidP="004568A4">
      <w:pPr>
        <w:spacing w:before="0" w:after="0"/>
      </w:pPr>
    </w:p>
    <w:p w14:paraId="15F330F2" w14:textId="77777777" w:rsidR="00C819AD" w:rsidRDefault="00C819AD" w:rsidP="004568A4">
      <w:pPr>
        <w:pStyle w:val="Default"/>
        <w:jc w:val="center"/>
        <w:rPr>
          <w:b/>
          <w:bCs/>
          <w:szCs w:val="28"/>
          <w:u w:val="single"/>
        </w:rPr>
      </w:pPr>
    </w:p>
    <w:p w14:paraId="22D5AA54" w14:textId="17D30854" w:rsidR="004568A4" w:rsidRPr="00384042" w:rsidRDefault="004568A4" w:rsidP="004568A4">
      <w:pPr>
        <w:pStyle w:val="Default"/>
        <w:jc w:val="center"/>
        <w:rPr>
          <w:u w:val="single"/>
        </w:rPr>
      </w:pPr>
      <w:r w:rsidRPr="00384042">
        <w:rPr>
          <w:b/>
          <w:bCs/>
          <w:u w:val="single"/>
        </w:rPr>
        <w:t xml:space="preserve">Toy Cleaning Schedule </w:t>
      </w:r>
    </w:p>
    <w:p w14:paraId="79F410B5" w14:textId="77777777" w:rsidR="004568A4" w:rsidRPr="00384042" w:rsidRDefault="004568A4" w:rsidP="004568A4">
      <w:pPr>
        <w:pStyle w:val="Default"/>
        <w:jc w:val="center"/>
      </w:pPr>
    </w:p>
    <w:p w14:paraId="2331F8CD" w14:textId="62849AD5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The safe decontamination of toys between use is an essential requirement of routine infection prevention and control</w:t>
      </w:r>
      <w:r w:rsidR="00384042" w:rsidRPr="00384042">
        <w:rPr>
          <w:rFonts w:cs="Arial"/>
          <w:sz w:val="24"/>
        </w:rPr>
        <w:t xml:space="preserve"> (IPC)</w:t>
      </w:r>
      <w:r w:rsidRPr="00384042">
        <w:rPr>
          <w:rFonts w:cs="Arial"/>
          <w:sz w:val="24"/>
        </w:rPr>
        <w:t xml:space="preserve"> practice.</w:t>
      </w:r>
      <w:r w:rsidR="00960EA8" w:rsidRPr="00384042">
        <w:rPr>
          <w:rFonts w:cs="Arial"/>
          <w:sz w:val="24"/>
        </w:rPr>
        <w:t xml:space="preserve"> </w:t>
      </w:r>
      <w:r w:rsidRPr="00384042">
        <w:rPr>
          <w:rFonts w:cs="Arial"/>
          <w:sz w:val="24"/>
        </w:rPr>
        <w:t xml:space="preserve"> Although toys may appear to be physically dirty after use, the bacteria isolated from their surfaces are generally non-pathogenic to children with normal immune function and probably no worse than other objects in the environment. </w:t>
      </w:r>
      <w:r w:rsidR="00960EA8" w:rsidRPr="00384042">
        <w:rPr>
          <w:rFonts w:cs="Arial"/>
          <w:sz w:val="24"/>
        </w:rPr>
        <w:t xml:space="preserve"> </w:t>
      </w:r>
      <w:r w:rsidRPr="00384042">
        <w:rPr>
          <w:rFonts w:cs="Arial"/>
          <w:sz w:val="24"/>
        </w:rPr>
        <w:t>However, there is an appreciable (1 in 10) risk of cross-infection with the use of toys in a clinic (McKay and Gillespie 2000).</w:t>
      </w:r>
    </w:p>
    <w:p w14:paraId="4F228C7D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7B748434" w14:textId="4E62406E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 xml:space="preserve">Toys with hard surfaces are preferred as these are less likely to be contaminated and are more easily cleaned and must be stored in a designated container that is rigid and washable. </w:t>
      </w:r>
      <w:r w:rsidR="00960EA8" w:rsidRPr="00384042">
        <w:rPr>
          <w:rFonts w:cs="Arial"/>
          <w:sz w:val="24"/>
        </w:rPr>
        <w:t xml:space="preserve"> </w:t>
      </w:r>
      <w:r w:rsidRPr="00384042">
        <w:rPr>
          <w:rFonts w:cs="Arial"/>
          <w:sz w:val="24"/>
        </w:rPr>
        <w:t>The schedule will also assist in the identification of damaged toys or those that cannot be easily cleaned.</w:t>
      </w:r>
    </w:p>
    <w:p w14:paraId="4000B534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76345E89" w14:textId="2C56925D" w:rsidR="004568A4" w:rsidRPr="00384042" w:rsidRDefault="004568A4" w:rsidP="004568A4">
      <w:pPr>
        <w:pStyle w:val="Default"/>
        <w:jc w:val="both"/>
      </w:pPr>
      <w:r w:rsidRPr="00384042">
        <w:t>Toys and play equipment must be decontaminated thoroughly according to the risk of infection (Health Protection Agency 2010).</w:t>
      </w:r>
      <w:r w:rsidR="00960EA8" w:rsidRPr="00384042">
        <w:t xml:space="preserve"> </w:t>
      </w:r>
      <w:r w:rsidRPr="00384042">
        <w:t xml:space="preserve"> Hard surface toys/play equipment should be cleaned routinely with neutral detergent and warm water and dried thoroughly. </w:t>
      </w:r>
      <w:r w:rsidR="00960EA8" w:rsidRPr="00384042">
        <w:t xml:space="preserve"> </w:t>
      </w:r>
      <w:r w:rsidRPr="00384042">
        <w:t xml:space="preserve">Alternatively, </w:t>
      </w:r>
      <w:proofErr w:type="spellStart"/>
      <w:r w:rsidR="00437CEE" w:rsidRPr="00282186">
        <w:t>Clinell</w:t>
      </w:r>
      <w:proofErr w:type="spellEnd"/>
      <w:r w:rsidR="00437CEE" w:rsidRPr="00282186">
        <w:t xml:space="preserve"> Universal wipes</w:t>
      </w:r>
      <w:r w:rsidR="00437CEE" w:rsidRPr="00384042">
        <w:t xml:space="preserve"> </w:t>
      </w:r>
      <w:r w:rsidRPr="00384042">
        <w:t>may be used.</w:t>
      </w:r>
      <w:r w:rsidR="00960EA8" w:rsidRPr="00384042">
        <w:t xml:space="preserve"> </w:t>
      </w:r>
      <w:r w:rsidRPr="00384042">
        <w:t xml:space="preserve"> </w:t>
      </w:r>
    </w:p>
    <w:p w14:paraId="521B9505" w14:textId="77777777" w:rsidR="004568A4" w:rsidRPr="00384042" w:rsidRDefault="004568A4" w:rsidP="004568A4">
      <w:pPr>
        <w:pStyle w:val="Default"/>
        <w:jc w:val="both"/>
      </w:pPr>
    </w:p>
    <w:p w14:paraId="0730C659" w14:textId="0BAD2DC1" w:rsidR="004568A4" w:rsidRPr="00384042" w:rsidRDefault="004568A4" w:rsidP="004568A4">
      <w:pPr>
        <w:pStyle w:val="Default"/>
        <w:jc w:val="both"/>
      </w:pPr>
      <w:r w:rsidRPr="00384042">
        <w:t xml:space="preserve">Soft toys, including dolls clothes and bean bag covers, must be laundered in a washing machine according to manufactures instructions. </w:t>
      </w:r>
      <w:r w:rsidR="00960EA8" w:rsidRPr="00384042">
        <w:t xml:space="preserve"> </w:t>
      </w:r>
      <w:r w:rsidRPr="00384042">
        <w:rPr>
          <w:i/>
          <w:iCs/>
        </w:rPr>
        <w:t xml:space="preserve">Heat labile items </w:t>
      </w:r>
      <w:r w:rsidRPr="00384042">
        <w:t xml:space="preserve">should be washed on the hottest cycle possible for that item. </w:t>
      </w:r>
    </w:p>
    <w:p w14:paraId="7535FC86" w14:textId="77777777" w:rsidR="004568A4" w:rsidRPr="00384042" w:rsidRDefault="004568A4" w:rsidP="004568A4">
      <w:pPr>
        <w:pStyle w:val="Default"/>
        <w:jc w:val="both"/>
      </w:pPr>
    </w:p>
    <w:p w14:paraId="3325A9BA" w14:textId="084C43AF" w:rsidR="004568A4" w:rsidRPr="00384042" w:rsidRDefault="004568A4" w:rsidP="004568A4">
      <w:pPr>
        <w:pStyle w:val="Default"/>
        <w:jc w:val="both"/>
      </w:pPr>
      <w:r w:rsidRPr="00384042">
        <w:t xml:space="preserve">The checklist is designed to provide assurance that cleaning has been carried out in accordance with the necessary requirements. </w:t>
      </w:r>
      <w:r w:rsidR="00960EA8" w:rsidRPr="00384042">
        <w:t xml:space="preserve"> </w:t>
      </w:r>
      <w:r w:rsidRPr="00384042">
        <w:t xml:space="preserve">The healthcare professional in charge is responsible for </w:t>
      </w:r>
      <w:r w:rsidR="00384042">
        <w:t xml:space="preserve">being satisfied with the standard of cleanliness and </w:t>
      </w:r>
      <w:r w:rsidRPr="00384042">
        <w:t>ensuring the checklist is completed.</w:t>
      </w:r>
    </w:p>
    <w:p w14:paraId="46ED0096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0D3C674B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b/>
          <w:sz w:val="24"/>
        </w:rPr>
        <w:t>Schedule</w:t>
      </w:r>
      <w:r w:rsidRPr="00384042">
        <w:rPr>
          <w:rFonts w:cs="Arial"/>
          <w:sz w:val="24"/>
        </w:rPr>
        <w:t>:</w:t>
      </w:r>
    </w:p>
    <w:p w14:paraId="615351D4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54772AF3" w14:textId="70CD4C4A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All hard toys and equipment must be cleaned weekly and also during use if they become soiled or contaminated</w:t>
      </w:r>
    </w:p>
    <w:p w14:paraId="7AB78C8F" w14:textId="0EF4AA2C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 xml:space="preserve">All soft toys, including dolls clothes and bean bag covers, must be cleaned monthly or earlier if they become soiled or contaminated </w:t>
      </w:r>
    </w:p>
    <w:p w14:paraId="6E983372" w14:textId="5B31140D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Plastic storage containers must be cleaned weekly and thoroughly dried</w:t>
      </w:r>
    </w:p>
    <w:p w14:paraId="5FFA9306" w14:textId="3E0A0245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Sandpits should be covered for protection and the sand must be sieved monthly and replaced every three months.</w:t>
      </w:r>
      <w:r w:rsidR="00960EA8" w:rsidRPr="00384042">
        <w:rPr>
          <w:rFonts w:cs="Arial"/>
          <w:sz w:val="24"/>
        </w:rPr>
        <w:t xml:space="preserve"> </w:t>
      </w:r>
      <w:r w:rsidRPr="00384042">
        <w:rPr>
          <w:rFonts w:cs="Arial"/>
          <w:sz w:val="24"/>
        </w:rPr>
        <w:t xml:space="preserve"> If the sand becomes contaminated or soiled it must be replaced immediately</w:t>
      </w:r>
    </w:p>
    <w:p w14:paraId="2AE73BB3" w14:textId="717559FC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Containers for water play must be emptied daily and thoroughly cleaned and dried</w:t>
      </w:r>
    </w:p>
    <w:p w14:paraId="03EA18CC" w14:textId="2105F64C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Water play toys should be non-porous and dried thoroughly after use and stored dry</w:t>
      </w:r>
    </w:p>
    <w:p w14:paraId="46C60A9F" w14:textId="7C9BFD7C" w:rsidR="004568A4" w:rsidRPr="00384042" w:rsidRDefault="004568A4" w:rsidP="004568A4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 xml:space="preserve">Play dough/plasticine should be </w:t>
      </w:r>
      <w:r w:rsidR="00FF250F" w:rsidRPr="00384042">
        <w:rPr>
          <w:rFonts w:cs="Arial"/>
          <w:sz w:val="24"/>
        </w:rPr>
        <w:t>single patient use only</w:t>
      </w:r>
      <w:r w:rsidRPr="00384042">
        <w:rPr>
          <w:rFonts w:cs="Arial"/>
          <w:sz w:val="24"/>
        </w:rPr>
        <w:t>.</w:t>
      </w:r>
    </w:p>
    <w:p w14:paraId="36925EAA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ind w:left="720"/>
        <w:rPr>
          <w:rFonts w:cs="Arial"/>
          <w:sz w:val="24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568A4" w:rsidRPr="00384042" w14:paraId="2EA8E2D0" w14:textId="77777777" w:rsidTr="00593815">
        <w:tc>
          <w:tcPr>
            <w:tcW w:w="8856" w:type="dxa"/>
            <w:shd w:val="clear" w:color="auto" w:fill="FF0000"/>
          </w:tcPr>
          <w:p w14:paraId="28465EA0" w14:textId="77777777" w:rsidR="004568A4" w:rsidRPr="00384042" w:rsidRDefault="004568A4" w:rsidP="00593815">
            <w:pPr>
              <w:pStyle w:val="Default"/>
              <w:spacing w:before="120" w:after="120"/>
              <w:ind w:left="720"/>
              <w:jc w:val="both"/>
              <w:rPr>
                <w:b/>
              </w:rPr>
            </w:pPr>
            <w:r w:rsidRPr="00384042">
              <w:rPr>
                <w:b/>
              </w:rPr>
              <w:t>If play equipment is contaminated with blood or body fluids staff must refer to the policy for the management of blood and body fluid spillages.</w:t>
            </w:r>
          </w:p>
        </w:tc>
      </w:tr>
    </w:tbl>
    <w:p w14:paraId="2012125E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70575A97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  <w:r w:rsidRPr="00384042">
        <w:rPr>
          <w:rFonts w:cs="Arial"/>
          <w:sz w:val="24"/>
        </w:rPr>
        <w:t>References:</w:t>
      </w:r>
    </w:p>
    <w:p w14:paraId="623B46C5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1716CD69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i/>
          <w:sz w:val="24"/>
        </w:rPr>
      </w:pPr>
      <w:proofErr w:type="spellStart"/>
      <w:r w:rsidRPr="00384042">
        <w:rPr>
          <w:rFonts w:cs="Arial"/>
          <w:sz w:val="24"/>
        </w:rPr>
        <w:t>Mckay</w:t>
      </w:r>
      <w:proofErr w:type="spellEnd"/>
      <w:r w:rsidRPr="00384042">
        <w:rPr>
          <w:rFonts w:cs="Arial"/>
          <w:sz w:val="24"/>
        </w:rPr>
        <w:t xml:space="preserve"> I and Gillespie T.A. (2000) Bacterial contamination of children’s toys used in a general practitioner’s surgery. </w:t>
      </w:r>
      <w:r w:rsidRPr="00384042">
        <w:rPr>
          <w:rFonts w:cs="Arial"/>
          <w:i/>
          <w:sz w:val="24"/>
        </w:rPr>
        <w:t>Scott Med Journal Feb:45(1):12-3</w:t>
      </w:r>
    </w:p>
    <w:p w14:paraId="60D2E074" w14:textId="77777777" w:rsidR="004568A4" w:rsidRPr="00384042" w:rsidRDefault="004568A4" w:rsidP="004568A4">
      <w:pPr>
        <w:autoSpaceDE w:val="0"/>
        <w:autoSpaceDN w:val="0"/>
        <w:adjustRightInd w:val="0"/>
        <w:spacing w:before="0" w:after="0"/>
        <w:rPr>
          <w:rFonts w:cs="Arial"/>
          <w:sz w:val="24"/>
        </w:rPr>
      </w:pPr>
    </w:p>
    <w:p w14:paraId="36F263DA" w14:textId="52E78196" w:rsidR="00060299" w:rsidRPr="00384042" w:rsidRDefault="00437CEE" w:rsidP="00060299">
      <w:pPr>
        <w:shd w:val="clear" w:color="auto" w:fill="FFFFFF"/>
        <w:spacing w:before="0" w:after="0"/>
        <w:jc w:val="left"/>
        <w:outlineLvl w:val="0"/>
        <w:rPr>
          <w:rFonts w:cs="Arial"/>
          <w:color w:val="0B0C0C"/>
          <w:kern w:val="36"/>
          <w:sz w:val="24"/>
        </w:rPr>
      </w:pPr>
      <w:hyperlink r:id="rId7" w:history="1">
        <w:r w:rsidR="00060299" w:rsidRPr="00384042">
          <w:rPr>
            <w:rStyle w:val="Hyperlink"/>
            <w:rFonts w:cs="Arial"/>
            <w:kern w:val="36"/>
            <w:sz w:val="24"/>
          </w:rPr>
          <w:t>https://www.gov.uk/government/publications/health-protection-in-schools-and-other-childcare-facilities</w:t>
        </w:r>
      </w:hyperlink>
    </w:p>
    <w:p w14:paraId="4AE561EF" w14:textId="77777777" w:rsidR="00060299" w:rsidRPr="00384042" w:rsidRDefault="00060299" w:rsidP="00060299">
      <w:pPr>
        <w:shd w:val="clear" w:color="auto" w:fill="FFFFFF"/>
        <w:spacing w:before="0" w:after="0"/>
        <w:jc w:val="left"/>
        <w:outlineLvl w:val="0"/>
        <w:rPr>
          <w:rFonts w:cs="Arial"/>
          <w:color w:val="0B0C0C"/>
          <w:kern w:val="36"/>
          <w:sz w:val="24"/>
        </w:rPr>
      </w:pPr>
    </w:p>
    <w:p w14:paraId="46D07EA2" w14:textId="77777777" w:rsidR="004568A4" w:rsidRDefault="004568A4" w:rsidP="004568A4">
      <w:pPr>
        <w:spacing w:before="0" w:after="0"/>
      </w:pPr>
    </w:p>
    <w:p w14:paraId="34E48F19" w14:textId="77777777" w:rsidR="004729F0" w:rsidRDefault="004729F0">
      <w:pPr>
        <w:sectPr w:rsidR="004729F0" w:rsidSect="004568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FB71A2" w14:textId="04653DB5" w:rsidR="004729F0" w:rsidRPr="00437CEE" w:rsidRDefault="004729F0" w:rsidP="006E3831">
      <w:pPr>
        <w:rPr>
          <w:b/>
          <w:sz w:val="24"/>
        </w:rPr>
      </w:pPr>
      <w:r w:rsidRPr="00437CEE">
        <w:rPr>
          <w:b/>
          <w:sz w:val="24"/>
        </w:rPr>
        <w:lastRenderedPageBreak/>
        <w:t>Month:_________________</w:t>
      </w:r>
      <w:r w:rsidR="00437CEE">
        <w:rPr>
          <w:b/>
          <w:sz w:val="24"/>
        </w:rPr>
        <w:t>______</w:t>
      </w:r>
      <w:r w:rsidRPr="00437CEE">
        <w:rPr>
          <w:b/>
          <w:sz w:val="24"/>
        </w:rPr>
        <w:t xml:space="preserve">   Year:  20______</w:t>
      </w:r>
      <w:r w:rsidR="00437CEE">
        <w:rPr>
          <w:b/>
          <w:sz w:val="24"/>
        </w:rPr>
        <w:t>______</w:t>
      </w:r>
      <w:r w:rsidRPr="00437CEE">
        <w:rPr>
          <w:b/>
          <w:sz w:val="24"/>
        </w:rPr>
        <w:t xml:space="preserve">               </w:t>
      </w:r>
      <w:r w:rsidR="00437CEE">
        <w:rPr>
          <w:b/>
          <w:sz w:val="24"/>
        </w:rPr>
        <w:t xml:space="preserve"> </w:t>
      </w:r>
      <w:r w:rsidRPr="00437CEE">
        <w:rPr>
          <w:b/>
          <w:sz w:val="24"/>
        </w:rPr>
        <w:t>Toy Cleaning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843"/>
        <w:gridCol w:w="1559"/>
        <w:gridCol w:w="2127"/>
        <w:gridCol w:w="1984"/>
        <w:gridCol w:w="2977"/>
      </w:tblGrid>
      <w:tr w:rsidR="004729F0" w:rsidRPr="008576F9" w14:paraId="0533820A" w14:textId="77777777" w:rsidTr="006763BB">
        <w:trPr>
          <w:tblHeader/>
        </w:trPr>
        <w:tc>
          <w:tcPr>
            <w:tcW w:w="1101" w:type="dxa"/>
            <w:shd w:val="clear" w:color="auto" w:fill="auto"/>
          </w:tcPr>
          <w:p w14:paraId="764312B7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559" w:type="dxa"/>
            <w:shd w:val="clear" w:color="auto" w:fill="auto"/>
          </w:tcPr>
          <w:p w14:paraId="0631DF89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DAILY</w:t>
            </w:r>
          </w:p>
        </w:tc>
        <w:tc>
          <w:tcPr>
            <w:tcW w:w="1984" w:type="dxa"/>
            <w:shd w:val="clear" w:color="auto" w:fill="auto"/>
          </w:tcPr>
          <w:p w14:paraId="4259315C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DAILY/AFTER USE</w:t>
            </w:r>
          </w:p>
        </w:tc>
        <w:tc>
          <w:tcPr>
            <w:tcW w:w="1843" w:type="dxa"/>
            <w:shd w:val="clear" w:color="auto" w:fill="auto"/>
          </w:tcPr>
          <w:p w14:paraId="72C75ECD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DAILY/AFTER USE</w:t>
            </w:r>
          </w:p>
        </w:tc>
        <w:tc>
          <w:tcPr>
            <w:tcW w:w="1559" w:type="dxa"/>
            <w:shd w:val="clear" w:color="auto" w:fill="auto"/>
          </w:tcPr>
          <w:p w14:paraId="658CCA25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WEEKLY</w:t>
            </w:r>
          </w:p>
        </w:tc>
        <w:tc>
          <w:tcPr>
            <w:tcW w:w="2127" w:type="dxa"/>
            <w:shd w:val="clear" w:color="auto" w:fill="auto"/>
          </w:tcPr>
          <w:p w14:paraId="6533C807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MONTHLY</w:t>
            </w:r>
          </w:p>
        </w:tc>
        <w:tc>
          <w:tcPr>
            <w:tcW w:w="1984" w:type="dxa"/>
            <w:shd w:val="clear" w:color="auto" w:fill="auto"/>
          </w:tcPr>
          <w:p w14:paraId="0E8DA58A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MONTHLY</w:t>
            </w:r>
          </w:p>
        </w:tc>
        <w:tc>
          <w:tcPr>
            <w:tcW w:w="2977" w:type="dxa"/>
            <w:shd w:val="clear" w:color="auto" w:fill="auto"/>
          </w:tcPr>
          <w:p w14:paraId="6B144F4F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b/>
              </w:rPr>
            </w:pPr>
            <w:r w:rsidRPr="0088131E">
              <w:rPr>
                <w:rFonts w:ascii="Calibri" w:hAnsi="Calibri" w:cs="Calibri"/>
                <w:b/>
              </w:rPr>
              <w:t>3 MONTHLY</w:t>
            </w:r>
          </w:p>
        </w:tc>
      </w:tr>
      <w:tr w:rsidR="004729F0" w:rsidRPr="008576F9" w14:paraId="23256A32" w14:textId="77777777" w:rsidTr="006763BB">
        <w:tc>
          <w:tcPr>
            <w:tcW w:w="1101" w:type="dxa"/>
            <w:shd w:val="clear" w:color="auto" w:fill="auto"/>
          </w:tcPr>
          <w:p w14:paraId="24106252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2398AF78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>Containers for water play must be emptied daily and thoroughly cleaned and dried.</w:t>
            </w:r>
          </w:p>
        </w:tc>
        <w:tc>
          <w:tcPr>
            <w:tcW w:w="1984" w:type="dxa"/>
            <w:shd w:val="clear" w:color="auto" w:fill="auto"/>
          </w:tcPr>
          <w:p w14:paraId="3390539B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>Water play toys should be non-porous and dried thoroughly after use and stored dry.</w:t>
            </w:r>
          </w:p>
        </w:tc>
        <w:tc>
          <w:tcPr>
            <w:tcW w:w="1843" w:type="dxa"/>
            <w:shd w:val="clear" w:color="auto" w:fill="auto"/>
          </w:tcPr>
          <w:p w14:paraId="42E41FF3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 xml:space="preserve">All hard toys and equipment must be cleaned </w:t>
            </w:r>
            <w:r>
              <w:rPr>
                <w:rFonts w:ascii="Calibri" w:hAnsi="Calibri" w:cs="Calibri"/>
                <w:sz w:val="18"/>
              </w:rPr>
              <w:t>after use</w:t>
            </w:r>
          </w:p>
          <w:p w14:paraId="44AA816C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 xml:space="preserve"> </w:t>
            </w:r>
            <w:r w:rsidRPr="0088131E">
              <w:rPr>
                <w:rFonts w:ascii="Calibri" w:hAnsi="Calibri" w:cs="Calibri"/>
                <w:b/>
                <w:sz w:val="18"/>
              </w:rPr>
              <w:t>and also during use if they become soiled or contaminated.</w:t>
            </w:r>
          </w:p>
        </w:tc>
        <w:tc>
          <w:tcPr>
            <w:tcW w:w="1559" w:type="dxa"/>
            <w:shd w:val="clear" w:color="auto" w:fill="auto"/>
          </w:tcPr>
          <w:p w14:paraId="5C33E566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>Plastic storage containers must be cleaned weekly and thoroughly dried.</w:t>
            </w:r>
          </w:p>
          <w:p w14:paraId="4DF459BD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32237FC7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 xml:space="preserve">All soft toys, including dolls clothes and bean bag covers, must be cleaned monthly </w:t>
            </w:r>
          </w:p>
          <w:p w14:paraId="16E9C026" w14:textId="77777777" w:rsidR="004729F0" w:rsidRPr="0088131E" w:rsidRDefault="004729F0" w:rsidP="00593815">
            <w:pPr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b/>
                <w:sz w:val="18"/>
              </w:rPr>
              <w:t>or earlier if they become soiled or contaminated.</w:t>
            </w:r>
          </w:p>
        </w:tc>
        <w:tc>
          <w:tcPr>
            <w:tcW w:w="1984" w:type="dxa"/>
            <w:shd w:val="clear" w:color="auto" w:fill="auto"/>
          </w:tcPr>
          <w:p w14:paraId="207D36E4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 xml:space="preserve">Sandpits should be covered for protection and the sand must be sieved monthly.  </w:t>
            </w:r>
          </w:p>
          <w:p w14:paraId="7EAF8E6F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b/>
                <w:sz w:val="18"/>
              </w:rPr>
              <w:t>If the sand becomes contaminated or soiled it must be replaced immediately.</w:t>
            </w:r>
          </w:p>
        </w:tc>
        <w:tc>
          <w:tcPr>
            <w:tcW w:w="2977" w:type="dxa"/>
            <w:shd w:val="clear" w:color="auto" w:fill="auto"/>
          </w:tcPr>
          <w:p w14:paraId="2FF82EB6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sz w:val="18"/>
              </w:rPr>
              <w:t xml:space="preserve">Sandpit sand to be renewed every 3 months.  </w:t>
            </w:r>
          </w:p>
          <w:p w14:paraId="5F24D5A8" w14:textId="77777777" w:rsidR="004729F0" w:rsidRPr="0088131E" w:rsidRDefault="004729F0" w:rsidP="00593815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 w:cs="Calibri"/>
                <w:sz w:val="18"/>
              </w:rPr>
            </w:pPr>
            <w:r w:rsidRPr="0088131E">
              <w:rPr>
                <w:rFonts w:ascii="Calibri" w:hAnsi="Calibri" w:cs="Calibri"/>
                <w:b/>
                <w:sz w:val="18"/>
              </w:rPr>
              <w:t>If the sand becomes contaminated or soiled it must be replaced immediately.</w:t>
            </w:r>
          </w:p>
        </w:tc>
      </w:tr>
      <w:tr w:rsidR="004729F0" w:rsidRPr="00572C1C" w14:paraId="6CCD8780" w14:textId="77777777" w:rsidTr="006763BB">
        <w:tc>
          <w:tcPr>
            <w:tcW w:w="1101" w:type="dxa"/>
            <w:shd w:val="clear" w:color="auto" w:fill="auto"/>
          </w:tcPr>
          <w:p w14:paraId="6D67C3AC" w14:textId="77777777" w:rsidR="004729F0" w:rsidRPr="0088131E" w:rsidRDefault="004729F0" w:rsidP="0059381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vertAlign w:val="superscript"/>
              </w:rPr>
            </w:pPr>
            <w:r w:rsidRPr="0088131E">
              <w:rPr>
                <w:rFonts w:ascii="Calibri" w:hAnsi="Calibri" w:cs="Calibri"/>
              </w:rPr>
              <w:t>1</w:t>
            </w:r>
            <w:r w:rsidRPr="0088131E">
              <w:rPr>
                <w:rFonts w:ascii="Calibri" w:hAnsi="Calibri" w:cs="Calibri"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14:paraId="40CA9093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3619313E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7F82E93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5C38FC8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113DA1E4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0478543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17427D4C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7304AF67" w14:textId="77777777" w:rsidTr="006763BB">
        <w:tc>
          <w:tcPr>
            <w:tcW w:w="1101" w:type="dxa"/>
            <w:shd w:val="clear" w:color="auto" w:fill="auto"/>
          </w:tcPr>
          <w:p w14:paraId="23D430DD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2</w:t>
            </w:r>
            <w:r w:rsidRPr="0088131E">
              <w:rPr>
                <w:rFonts w:ascii="Calibri" w:hAnsi="Calibri" w:cs="Calibri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auto"/>
          </w:tcPr>
          <w:p w14:paraId="1E634F66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62E9CFF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3EDC6E15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2977E150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770B910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11C89B82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58028066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66517D4B" w14:textId="77777777" w:rsidTr="006763BB">
        <w:tc>
          <w:tcPr>
            <w:tcW w:w="1101" w:type="dxa"/>
            <w:shd w:val="clear" w:color="auto" w:fill="auto"/>
          </w:tcPr>
          <w:p w14:paraId="15CA0745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3</w:t>
            </w:r>
            <w:r w:rsidRPr="0088131E">
              <w:rPr>
                <w:rFonts w:ascii="Calibri" w:hAnsi="Calibri" w:cs="Calibri"/>
                <w:vertAlign w:val="superscript"/>
              </w:rPr>
              <w:t>rd</w:t>
            </w:r>
          </w:p>
        </w:tc>
        <w:tc>
          <w:tcPr>
            <w:tcW w:w="1559" w:type="dxa"/>
            <w:shd w:val="clear" w:color="auto" w:fill="auto"/>
          </w:tcPr>
          <w:p w14:paraId="0285977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5A1183CE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6CFA572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5AEEFB97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1D36AA26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552A228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4C7CAEFA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729475A3" w14:textId="77777777" w:rsidTr="006763BB">
        <w:tc>
          <w:tcPr>
            <w:tcW w:w="1101" w:type="dxa"/>
            <w:shd w:val="clear" w:color="auto" w:fill="auto"/>
          </w:tcPr>
          <w:p w14:paraId="5F40833B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4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48F7583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5400BB8E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3B28148C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0BA9102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6FDDAB7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2606F0E2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7353D80E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5933CA45" w14:textId="77777777" w:rsidTr="006763BB">
        <w:tc>
          <w:tcPr>
            <w:tcW w:w="1101" w:type="dxa"/>
            <w:shd w:val="clear" w:color="auto" w:fill="auto"/>
          </w:tcPr>
          <w:p w14:paraId="4471E56D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5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607B6023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7823FAE0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175C4D40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4B0C5D0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345A9C88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1333DAF6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4763C2C5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478DE46D" w14:textId="77777777" w:rsidTr="006763BB">
        <w:tc>
          <w:tcPr>
            <w:tcW w:w="1101" w:type="dxa"/>
            <w:shd w:val="clear" w:color="auto" w:fill="auto"/>
          </w:tcPr>
          <w:p w14:paraId="32E39694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6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6014799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0C8A71A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3637B41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1203CF30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37302434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4CE9A878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3AF0EBA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732F5D4F" w14:textId="77777777" w:rsidTr="006763BB">
        <w:tc>
          <w:tcPr>
            <w:tcW w:w="1101" w:type="dxa"/>
            <w:shd w:val="clear" w:color="auto" w:fill="auto"/>
          </w:tcPr>
          <w:p w14:paraId="2980F341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7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5300CD4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60D0976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3D4E20FE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7954756E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3829EFE7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3BE53CF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6460DDF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10E6C1D6" w14:textId="77777777" w:rsidTr="006763BB">
        <w:tc>
          <w:tcPr>
            <w:tcW w:w="1101" w:type="dxa"/>
            <w:shd w:val="clear" w:color="auto" w:fill="auto"/>
          </w:tcPr>
          <w:p w14:paraId="7B1B9C14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8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6D3F992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3BE48BE6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49D7B8B7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73D62D3A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7A9207B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4F3F3593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46F71B7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626D662C" w14:textId="77777777" w:rsidTr="006763BB">
        <w:tc>
          <w:tcPr>
            <w:tcW w:w="1101" w:type="dxa"/>
            <w:shd w:val="clear" w:color="auto" w:fill="auto"/>
          </w:tcPr>
          <w:p w14:paraId="7FA6FB64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9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44072490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61127E4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1D826A9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2F3F062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1FDCF3D2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7A82825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7BCF7FF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583C8F35" w14:textId="77777777" w:rsidTr="006763BB">
        <w:tc>
          <w:tcPr>
            <w:tcW w:w="1101" w:type="dxa"/>
            <w:shd w:val="clear" w:color="auto" w:fill="auto"/>
          </w:tcPr>
          <w:p w14:paraId="19F5836C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10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7ABF8D1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21958B4C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010D9C88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023AD08C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255F34B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507756F7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0D502F8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1663517E" w14:textId="77777777" w:rsidTr="006763BB">
        <w:tc>
          <w:tcPr>
            <w:tcW w:w="1101" w:type="dxa"/>
            <w:shd w:val="clear" w:color="auto" w:fill="auto"/>
          </w:tcPr>
          <w:p w14:paraId="264EC86F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11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376C1E8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49DC9AA1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2F24EE0D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36CD4137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7B4BA24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1F9EADE8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258264D7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651600F5" w14:textId="77777777" w:rsidTr="006763BB">
        <w:tc>
          <w:tcPr>
            <w:tcW w:w="1101" w:type="dxa"/>
            <w:shd w:val="clear" w:color="auto" w:fill="auto"/>
          </w:tcPr>
          <w:p w14:paraId="7B3A09E3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lastRenderedPageBreak/>
              <w:t>12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7C9A55BA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47D7C1F9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3B393B9C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1DB09475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1A3C1C9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0F222075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2B43DA2F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572C1C" w14:paraId="2AE5B09F" w14:textId="77777777" w:rsidTr="006763BB">
        <w:tc>
          <w:tcPr>
            <w:tcW w:w="1101" w:type="dxa"/>
            <w:shd w:val="clear" w:color="auto" w:fill="auto"/>
          </w:tcPr>
          <w:p w14:paraId="182FA693" w14:textId="77777777" w:rsidR="004729F0" w:rsidRPr="0088131E" w:rsidRDefault="004729F0" w:rsidP="00593815">
            <w:pPr>
              <w:jc w:val="left"/>
              <w:rPr>
                <w:rFonts w:ascii="Calibri" w:hAnsi="Calibri" w:cs="Calibri"/>
              </w:rPr>
            </w:pPr>
            <w:r w:rsidRPr="0088131E">
              <w:rPr>
                <w:rFonts w:ascii="Calibri" w:hAnsi="Calibri" w:cs="Calibri"/>
              </w:rPr>
              <w:t>13</w:t>
            </w:r>
            <w:r w:rsidRPr="0088131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77161AA2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2608B2C3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843" w:type="dxa"/>
            <w:shd w:val="clear" w:color="auto" w:fill="auto"/>
          </w:tcPr>
          <w:p w14:paraId="36BEAAB2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559" w:type="dxa"/>
            <w:shd w:val="clear" w:color="auto" w:fill="auto"/>
          </w:tcPr>
          <w:p w14:paraId="4BA74FEC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127" w:type="dxa"/>
            <w:shd w:val="clear" w:color="auto" w:fill="auto"/>
          </w:tcPr>
          <w:p w14:paraId="6CB1E1BB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1984" w:type="dxa"/>
            <w:shd w:val="clear" w:color="auto" w:fill="auto"/>
          </w:tcPr>
          <w:p w14:paraId="7F2DAA55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  <w:tc>
          <w:tcPr>
            <w:tcW w:w="2977" w:type="dxa"/>
            <w:shd w:val="clear" w:color="auto" w:fill="auto"/>
          </w:tcPr>
          <w:p w14:paraId="15EC7232" w14:textId="77777777" w:rsidR="004729F0" w:rsidRPr="0088131E" w:rsidRDefault="004729F0" w:rsidP="00593815">
            <w:pPr>
              <w:jc w:val="left"/>
              <w:rPr>
                <w:color w:val="D9D9D9"/>
              </w:rPr>
            </w:pPr>
          </w:p>
        </w:tc>
      </w:tr>
      <w:tr w:rsidR="004729F0" w:rsidRPr="00765E74" w14:paraId="22B0F947" w14:textId="77777777" w:rsidTr="006763BB">
        <w:tc>
          <w:tcPr>
            <w:tcW w:w="1101" w:type="dxa"/>
            <w:shd w:val="clear" w:color="auto" w:fill="auto"/>
          </w:tcPr>
          <w:p w14:paraId="48B5900A" w14:textId="77777777" w:rsidR="004729F0" w:rsidRPr="0088131E" w:rsidRDefault="004729F0" w:rsidP="00593815">
            <w:pPr>
              <w:spacing w:line="276" w:lineRule="auto"/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14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7863A60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1E51E9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DD2EAE8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8AA9A3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9AA6A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8F8701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DF031B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15C24310" w14:textId="77777777" w:rsidTr="006763BB">
        <w:tc>
          <w:tcPr>
            <w:tcW w:w="1101" w:type="dxa"/>
            <w:shd w:val="clear" w:color="auto" w:fill="auto"/>
          </w:tcPr>
          <w:p w14:paraId="7A57D58E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15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16A8B4B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1292AA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55B9D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C6FB9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EADC5B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85CCE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711825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226C4A5F" w14:textId="77777777" w:rsidTr="006763BB">
        <w:tc>
          <w:tcPr>
            <w:tcW w:w="1101" w:type="dxa"/>
            <w:shd w:val="clear" w:color="auto" w:fill="auto"/>
          </w:tcPr>
          <w:p w14:paraId="58936F2A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16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2B1C7A7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94249D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4D8A0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B422A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2A235C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3F6470C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A1067D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50A0E1F0" w14:textId="77777777" w:rsidTr="006763BB">
        <w:tc>
          <w:tcPr>
            <w:tcW w:w="1101" w:type="dxa"/>
            <w:shd w:val="clear" w:color="auto" w:fill="auto"/>
          </w:tcPr>
          <w:p w14:paraId="2F6DD8E2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17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24261CB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27437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53D033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066EF3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7F3339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810282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EE19F1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301E6AD5" w14:textId="77777777" w:rsidTr="006763BB">
        <w:tc>
          <w:tcPr>
            <w:tcW w:w="1101" w:type="dxa"/>
            <w:shd w:val="clear" w:color="auto" w:fill="auto"/>
          </w:tcPr>
          <w:p w14:paraId="470890F3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18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2EAD8F2C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5A5D1B" w14:textId="77777777" w:rsidR="004729F0" w:rsidRPr="0088131E" w:rsidRDefault="004729F0" w:rsidP="00593815">
            <w:pPr>
              <w:tabs>
                <w:tab w:val="left" w:pos="360"/>
                <w:tab w:val="center" w:pos="814"/>
              </w:tabs>
              <w:jc w:val="left"/>
              <w:rPr>
                <w:rFonts w:eastAsia="Calibri"/>
                <w:color w:val="D9D9D9"/>
                <w:szCs w:val="22"/>
              </w:rPr>
            </w:pPr>
            <w:r w:rsidRPr="0088131E">
              <w:rPr>
                <w:rFonts w:ascii="Calibri" w:eastAsia="Calibri" w:hAnsi="Calibri" w:cs="Calibri"/>
                <w:i/>
                <w:color w:val="D9D9D9"/>
                <w:sz w:val="18"/>
                <w:szCs w:val="22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4CB2B1A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55E2CD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FEAC6D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DADD08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35E34D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6313217A" w14:textId="77777777" w:rsidTr="006763BB">
        <w:tc>
          <w:tcPr>
            <w:tcW w:w="1101" w:type="dxa"/>
            <w:shd w:val="clear" w:color="auto" w:fill="auto"/>
          </w:tcPr>
          <w:p w14:paraId="19F54CD7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19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7291975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6D5A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1EDEE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5A1418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BC19DD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D0C84D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DA0F63C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1BA37188" w14:textId="77777777" w:rsidTr="006763BB">
        <w:tc>
          <w:tcPr>
            <w:tcW w:w="1101" w:type="dxa"/>
            <w:shd w:val="clear" w:color="auto" w:fill="auto"/>
          </w:tcPr>
          <w:p w14:paraId="6FF842AC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20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2222BC4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9D593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4755F8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DE031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128CB9D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5182C7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B6E905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5736050D" w14:textId="77777777" w:rsidTr="006763BB">
        <w:tc>
          <w:tcPr>
            <w:tcW w:w="1101" w:type="dxa"/>
            <w:shd w:val="clear" w:color="auto" w:fill="auto"/>
          </w:tcPr>
          <w:p w14:paraId="68473CC7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21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14:paraId="0FF39E5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0E801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53EDC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D6EBA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1C1EA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2D06EC3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136325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36BB2018" w14:textId="77777777" w:rsidTr="006763BB">
        <w:tc>
          <w:tcPr>
            <w:tcW w:w="1101" w:type="dxa"/>
            <w:shd w:val="clear" w:color="auto" w:fill="auto"/>
          </w:tcPr>
          <w:p w14:paraId="4E6CAE92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22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nd</w:t>
            </w:r>
          </w:p>
        </w:tc>
        <w:tc>
          <w:tcPr>
            <w:tcW w:w="1559" w:type="dxa"/>
            <w:shd w:val="clear" w:color="auto" w:fill="auto"/>
          </w:tcPr>
          <w:p w14:paraId="3A71F1A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04F781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BFED7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504DA0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62CE71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A9CE5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5EDFC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63A940B8" w14:textId="77777777" w:rsidTr="006763BB">
        <w:tc>
          <w:tcPr>
            <w:tcW w:w="1101" w:type="dxa"/>
            <w:shd w:val="clear" w:color="auto" w:fill="auto"/>
          </w:tcPr>
          <w:p w14:paraId="43CB13E8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23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rd</w:t>
            </w:r>
          </w:p>
        </w:tc>
        <w:tc>
          <w:tcPr>
            <w:tcW w:w="1559" w:type="dxa"/>
            <w:shd w:val="clear" w:color="auto" w:fill="auto"/>
          </w:tcPr>
          <w:p w14:paraId="60C7874B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19E242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ADEF40C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45231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55FDBB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97C8AF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9ECFCC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3CF1869C" w14:textId="77777777" w:rsidTr="006763BB">
        <w:tc>
          <w:tcPr>
            <w:tcW w:w="1101" w:type="dxa"/>
            <w:shd w:val="clear" w:color="auto" w:fill="auto"/>
          </w:tcPr>
          <w:p w14:paraId="6F24AD0E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24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6D0FE69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0E66C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8AC3F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8D312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5AA45FA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EF5FDAD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E11D3A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  <w:r w:rsidRPr="0088131E">
              <w:rPr>
                <w:rFonts w:ascii="Calibri" w:eastAsia="Calibri" w:hAnsi="Calibri" w:cs="Calibri"/>
                <w:i/>
                <w:color w:val="D9D9D9"/>
                <w:sz w:val="18"/>
                <w:szCs w:val="22"/>
              </w:rPr>
              <w:t>(</w:t>
            </w:r>
          </w:p>
        </w:tc>
      </w:tr>
      <w:tr w:rsidR="004729F0" w:rsidRPr="00765E74" w14:paraId="710E4239" w14:textId="77777777" w:rsidTr="006763BB">
        <w:tc>
          <w:tcPr>
            <w:tcW w:w="1101" w:type="dxa"/>
            <w:shd w:val="clear" w:color="auto" w:fill="auto"/>
          </w:tcPr>
          <w:p w14:paraId="18C5D987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25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7936D52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9B189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0B75A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6AE74B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DC08EE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F365E5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3CE6BE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40A80393" w14:textId="77777777" w:rsidTr="006763BB">
        <w:tc>
          <w:tcPr>
            <w:tcW w:w="1101" w:type="dxa"/>
            <w:shd w:val="clear" w:color="auto" w:fill="auto"/>
          </w:tcPr>
          <w:p w14:paraId="4B0F8595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lastRenderedPageBreak/>
              <w:t>26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2D848F2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74A5D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0AADFB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C1223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B4B76D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1C2B6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8B9882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37332107" w14:textId="77777777" w:rsidTr="006763BB">
        <w:tc>
          <w:tcPr>
            <w:tcW w:w="1101" w:type="dxa"/>
            <w:shd w:val="clear" w:color="auto" w:fill="auto"/>
          </w:tcPr>
          <w:p w14:paraId="089DF0FA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27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2E3260B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DB61C28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632125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BFB5086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34CF47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4BD75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A9026F3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6075EFEE" w14:textId="77777777" w:rsidTr="006763BB">
        <w:tc>
          <w:tcPr>
            <w:tcW w:w="1101" w:type="dxa"/>
            <w:shd w:val="clear" w:color="auto" w:fill="auto"/>
          </w:tcPr>
          <w:p w14:paraId="3F86E0D6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28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346C3CAC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7605E8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71795A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D3C52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D3F8BE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9E7579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B171B10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3FDE294D" w14:textId="77777777" w:rsidTr="006763BB">
        <w:tc>
          <w:tcPr>
            <w:tcW w:w="1101" w:type="dxa"/>
            <w:shd w:val="clear" w:color="auto" w:fill="auto"/>
          </w:tcPr>
          <w:p w14:paraId="2782635D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29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502AC1D3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5A89BB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6288C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62501F8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4C9673B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D89F7A3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EDDA59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18958090" w14:textId="77777777" w:rsidTr="006763BB">
        <w:tc>
          <w:tcPr>
            <w:tcW w:w="1101" w:type="dxa"/>
            <w:shd w:val="clear" w:color="auto" w:fill="auto"/>
          </w:tcPr>
          <w:p w14:paraId="48E345D1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30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</w:tcPr>
          <w:p w14:paraId="51FA35DF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6F188C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B18E8D2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A8B8C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4C560C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31E1B1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501292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  <w:tr w:rsidR="004729F0" w:rsidRPr="00765E74" w14:paraId="3426C674" w14:textId="77777777" w:rsidTr="006763BB">
        <w:tc>
          <w:tcPr>
            <w:tcW w:w="1101" w:type="dxa"/>
            <w:shd w:val="clear" w:color="auto" w:fill="auto"/>
          </w:tcPr>
          <w:p w14:paraId="3A71C64A" w14:textId="77777777" w:rsidR="004729F0" w:rsidRPr="0088131E" w:rsidRDefault="004729F0" w:rsidP="00593815">
            <w:pPr>
              <w:jc w:val="left"/>
              <w:rPr>
                <w:rFonts w:ascii="Calibri" w:eastAsia="Calibri" w:hAnsi="Calibri" w:cs="Calibri"/>
                <w:szCs w:val="22"/>
              </w:rPr>
            </w:pPr>
            <w:r w:rsidRPr="0088131E">
              <w:rPr>
                <w:rFonts w:ascii="Calibri" w:eastAsia="Calibri" w:hAnsi="Calibri" w:cs="Calibri"/>
                <w:szCs w:val="22"/>
              </w:rPr>
              <w:t>31</w:t>
            </w:r>
            <w:r w:rsidRPr="0088131E">
              <w:rPr>
                <w:rFonts w:ascii="Calibri" w:eastAsia="Calibri" w:hAnsi="Calibri" w:cs="Calibri"/>
                <w:szCs w:val="22"/>
                <w:vertAlign w:val="superscript"/>
              </w:rPr>
              <w:t>st</w:t>
            </w:r>
          </w:p>
        </w:tc>
        <w:tc>
          <w:tcPr>
            <w:tcW w:w="1559" w:type="dxa"/>
            <w:shd w:val="clear" w:color="auto" w:fill="auto"/>
          </w:tcPr>
          <w:p w14:paraId="39D0E4A4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DE046AA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03AE7E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49DD3B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4B908E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996A7E1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3B36497" w14:textId="77777777" w:rsidR="004729F0" w:rsidRPr="0088131E" w:rsidRDefault="004729F0" w:rsidP="00593815">
            <w:pPr>
              <w:jc w:val="left"/>
              <w:rPr>
                <w:rFonts w:eastAsia="Calibri"/>
                <w:color w:val="D9D9D9"/>
                <w:szCs w:val="22"/>
              </w:rPr>
            </w:pPr>
          </w:p>
        </w:tc>
      </w:tr>
    </w:tbl>
    <w:p w14:paraId="4E982290" w14:textId="77777777" w:rsidR="004729F0" w:rsidRPr="00437CEE" w:rsidRDefault="004729F0" w:rsidP="006E3831">
      <w:pPr>
        <w:rPr>
          <w:b/>
          <w:sz w:val="24"/>
        </w:rPr>
      </w:pPr>
      <w:r w:rsidRPr="00437CEE">
        <w:rPr>
          <w:b/>
          <w:sz w:val="24"/>
        </w:rPr>
        <w:t>If play equipment is contaminated with blood or body fluids staff must refer to the National Infection Prevention and Control Manual and the blood and body fluid spillages quick guide.</w:t>
      </w:r>
    </w:p>
    <w:p w14:paraId="3D72C0A9" w14:textId="77777777" w:rsidR="004729F0" w:rsidRPr="00437CEE" w:rsidRDefault="004729F0" w:rsidP="006E3831">
      <w:pPr>
        <w:rPr>
          <w:b/>
          <w:sz w:val="24"/>
        </w:rPr>
      </w:pPr>
    </w:p>
    <w:p w14:paraId="7655DEC5" w14:textId="77777777" w:rsidR="004729F0" w:rsidRPr="00437CEE" w:rsidRDefault="004729F0" w:rsidP="006E3831">
      <w:pPr>
        <w:rPr>
          <w:b/>
          <w:sz w:val="24"/>
        </w:rPr>
      </w:pPr>
      <w:r w:rsidRPr="00437CEE">
        <w:rPr>
          <w:b/>
          <w:sz w:val="24"/>
        </w:rPr>
        <w:t>Managers signature……………………………………………...date….........................</w:t>
      </w:r>
    </w:p>
    <w:p w14:paraId="5750216D" w14:textId="77777777" w:rsidR="004729F0" w:rsidRDefault="004729F0" w:rsidP="006E3831">
      <w:pPr>
        <w:spacing w:before="0" w:after="0"/>
      </w:pPr>
    </w:p>
    <w:p w14:paraId="381F4829" w14:textId="77777777" w:rsidR="004729F0" w:rsidRDefault="004729F0" w:rsidP="006E3831">
      <w:pPr>
        <w:spacing w:before="0" w:after="0"/>
      </w:pPr>
    </w:p>
    <w:p w14:paraId="23202683" w14:textId="77777777" w:rsidR="004729F0" w:rsidRDefault="004729F0"/>
    <w:p w14:paraId="23722C5C" w14:textId="77777777" w:rsidR="004729F0" w:rsidRDefault="004729F0"/>
    <w:p w14:paraId="6E1C84CF" w14:textId="77777777" w:rsidR="004729F0" w:rsidRDefault="004729F0"/>
    <w:p w14:paraId="7EC70C26" w14:textId="77777777" w:rsidR="004729F0" w:rsidRDefault="004729F0"/>
    <w:p w14:paraId="3529F834" w14:textId="6D2A62AC" w:rsidR="004729F0" w:rsidRDefault="004729F0"/>
    <w:sectPr w:rsidR="004729F0" w:rsidSect="00D82DCB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A4B19" w14:textId="77777777" w:rsidR="00E93D15" w:rsidRDefault="00E93D15">
      <w:pPr>
        <w:spacing w:before="0" w:after="0"/>
      </w:pPr>
      <w:r>
        <w:separator/>
      </w:r>
    </w:p>
  </w:endnote>
  <w:endnote w:type="continuationSeparator" w:id="0">
    <w:p w14:paraId="0E33B204" w14:textId="77777777" w:rsidR="00E93D15" w:rsidRDefault="00E93D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A843" w14:textId="77777777" w:rsidR="00786565" w:rsidRDefault="00786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9A4A" w14:textId="77777777" w:rsidR="00E93D15" w:rsidRDefault="00E93D15">
      <w:pPr>
        <w:spacing w:before="0" w:after="0"/>
      </w:pPr>
      <w:r>
        <w:separator/>
      </w:r>
    </w:p>
  </w:footnote>
  <w:footnote w:type="continuationSeparator" w:id="0">
    <w:p w14:paraId="60C6416F" w14:textId="77777777" w:rsidR="00E93D15" w:rsidRDefault="00E93D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64D"/>
    <w:multiLevelType w:val="hybridMultilevel"/>
    <w:tmpl w:val="DA28B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693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A4"/>
    <w:rsid w:val="00060299"/>
    <w:rsid w:val="001E35BF"/>
    <w:rsid w:val="002F6939"/>
    <w:rsid w:val="00384042"/>
    <w:rsid w:val="00437CEE"/>
    <w:rsid w:val="004568A4"/>
    <w:rsid w:val="004729F0"/>
    <w:rsid w:val="00786565"/>
    <w:rsid w:val="00960EA8"/>
    <w:rsid w:val="00C819AD"/>
    <w:rsid w:val="00E93D15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9768"/>
  <w15:docId w15:val="{47A5851E-8255-42DD-90CF-26D081F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A4"/>
    <w:pPr>
      <w:spacing w:before="200" w:after="200"/>
    </w:pPr>
    <w:rPr>
      <w:rFonts w:eastAsia="Times New Roman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8A4"/>
    <w:pPr>
      <w:autoSpaceDE w:val="0"/>
      <w:autoSpaceDN w:val="0"/>
      <w:adjustRightInd w:val="0"/>
      <w:jc w:val="left"/>
    </w:pPr>
    <w:rPr>
      <w:rFonts w:eastAsia="Times New Roman" w:cs="Arial"/>
      <w:color w:val="00000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02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2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9A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9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29F0"/>
    <w:rPr>
      <w:rFonts w:eastAsia="Times New Roman"/>
      <w:sz w:val="22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7CE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7CEE"/>
    <w:rPr>
      <w:rFonts w:eastAsia="Times New Roman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health-protection-in-schools-and-other-childcare-fac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Foltyn, Karen</cp:lastModifiedBy>
  <cp:revision>3</cp:revision>
  <dcterms:created xsi:type="dcterms:W3CDTF">2024-01-16T15:05:00Z</dcterms:created>
  <dcterms:modified xsi:type="dcterms:W3CDTF">2024-01-31T10:15:00Z</dcterms:modified>
</cp:coreProperties>
</file>