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74191" w14:textId="77777777" w:rsidR="00CC750E" w:rsidRDefault="00CC750E" w:rsidP="00CC750E">
      <w:pPr>
        <w:pStyle w:val="Heading1"/>
        <w:spacing w:line="300" w:lineRule="atLeast"/>
        <w:rPr>
          <w:rFonts w:ascii="Segoe UI" w:hAnsi="Segoe UI" w:cs="Segoe UI"/>
          <w:bCs/>
          <w:color w:val="auto"/>
          <w:kern w:val="36"/>
          <w:sz w:val="48"/>
          <w:szCs w:val="48"/>
          <w14:ligatures w14:val="none"/>
        </w:rPr>
      </w:pPr>
      <w:r w:rsidRPr="00CC750E">
        <w:rPr>
          <w:rFonts w:ascii="Segoe UI" w:hAnsi="Segoe UI" w:cs="Segoe UI"/>
          <w:bCs/>
          <w:color w:val="auto"/>
          <w:kern w:val="36"/>
          <w:sz w:val="48"/>
          <w:szCs w:val="48"/>
          <w14:ligatures w14:val="none"/>
        </w:rPr>
        <w:t xml:space="preserve">Board of Directors </w:t>
      </w:r>
      <w:r>
        <w:rPr>
          <w:rFonts w:ascii="Segoe UI" w:hAnsi="Segoe UI" w:cs="Segoe UI"/>
          <w:bCs/>
          <w:color w:val="auto"/>
          <w:kern w:val="36"/>
          <w:sz w:val="48"/>
          <w:szCs w:val="48"/>
          <w14:ligatures w14:val="none"/>
        </w:rPr>
        <w:t>24 September 2026</w:t>
      </w:r>
    </w:p>
    <w:p w14:paraId="0E373AC1" w14:textId="46051303" w:rsidR="00CC750E" w:rsidRPr="00CC750E" w:rsidRDefault="00CC750E" w:rsidP="00CC750E">
      <w:pPr>
        <w:pStyle w:val="Heading1"/>
        <w:spacing w:line="300" w:lineRule="atLeast"/>
        <w:rPr>
          <w:rFonts w:ascii="Segoe UI" w:hAnsi="Segoe UI" w:cs="Segoe UI"/>
          <w:bCs/>
          <w:color w:val="auto"/>
          <w:kern w:val="36"/>
          <w:sz w:val="48"/>
          <w:szCs w:val="48"/>
          <w14:ligatures w14:val="none"/>
        </w:rPr>
      </w:pPr>
      <w:r w:rsidRPr="00CC750E">
        <w:rPr>
          <w:rFonts w:ascii="Segoe UI" w:hAnsi="Segoe UI" w:cs="Segoe UI"/>
          <w:bCs/>
          <w:color w:val="auto"/>
          <w:kern w:val="36"/>
          <w:sz w:val="48"/>
          <w:szCs w:val="48"/>
          <w14:ligatures w14:val="none"/>
        </w:rPr>
        <w:t>Agenda Pack: Easy-read summaries</w:t>
      </w:r>
    </w:p>
    <w:p w14:paraId="77D5B57B" w14:textId="77777777" w:rsidR="00CC750E" w:rsidRPr="00CC750E" w:rsidRDefault="00CC750E" w:rsidP="00CC750E">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CC750E">
        <w:rPr>
          <w:rFonts w:ascii="Segoe UI" w:eastAsia="Times New Roman" w:hAnsi="Segoe UI" w:cs="Segoe UI"/>
          <w:b/>
          <w:bCs/>
          <w:kern w:val="0"/>
          <w:sz w:val="36"/>
          <w:szCs w:val="36"/>
          <w:lang w:eastAsia="en-GB"/>
          <w14:ligatures w14:val="none"/>
        </w:rPr>
        <w:t>Paper A: Declarations of Interest</w:t>
      </w:r>
    </w:p>
    <w:p w14:paraId="5CA038CD"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What is the paper about?</w:t>
      </w:r>
      <w:r w:rsidRPr="00CC750E">
        <w:rPr>
          <w:rFonts w:ascii="Segoe UI" w:eastAsia="Times New Roman" w:hAnsi="Segoe UI" w:cs="Segoe UI"/>
          <w:kern w:val="0"/>
          <w:sz w:val="21"/>
          <w:szCs w:val="21"/>
          <w:lang w:eastAsia="en-GB"/>
          <w14:ligatures w14:val="none"/>
        </w:rPr>
        <w:br/>
        <w:t>The paper presents the current Register of Interests for Board members. Amendments were received from Rachael Blake and Kathy Gillatt, and the Board was asked to receive and note the updated register.</w:t>
      </w:r>
    </w:p>
    <w:p w14:paraId="09AFF9E7"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Key risks</w:t>
      </w:r>
      <w:r w:rsidRPr="00CC750E">
        <w:rPr>
          <w:rFonts w:ascii="Segoe UI" w:eastAsia="Times New Roman" w:hAnsi="Segoe UI" w:cs="Segoe UI"/>
          <w:kern w:val="0"/>
          <w:sz w:val="21"/>
          <w:szCs w:val="21"/>
          <w:lang w:eastAsia="en-GB"/>
          <w14:ligatures w14:val="none"/>
        </w:rPr>
        <w:br/>
        <w:t>Undeclared or unmanaged interests could affect the independence of decision-making and reduce public confidence in the Trust’s governance.</w:t>
      </w:r>
    </w:p>
    <w:p w14:paraId="3F12B5D6"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Key benefits</w:t>
      </w:r>
      <w:r w:rsidRPr="00CC750E">
        <w:rPr>
          <w:rFonts w:ascii="Segoe UI" w:eastAsia="Times New Roman" w:hAnsi="Segoe UI" w:cs="Segoe UI"/>
          <w:kern w:val="0"/>
          <w:sz w:val="21"/>
          <w:szCs w:val="21"/>
          <w:lang w:eastAsia="en-GB"/>
          <w14:ligatures w14:val="none"/>
        </w:rPr>
        <w:br/>
        <w:t>The register supports openness, transparency and appropriate management of potential conflicts.</w:t>
      </w:r>
    </w:p>
    <w:p w14:paraId="4BD69EF2"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Questions to consider</w:t>
      </w:r>
      <w:r w:rsidRPr="00CC750E">
        <w:rPr>
          <w:rFonts w:ascii="Segoe UI" w:eastAsia="Times New Roman" w:hAnsi="Segoe UI" w:cs="Segoe UI"/>
          <w:kern w:val="0"/>
          <w:sz w:val="21"/>
          <w:szCs w:val="21"/>
          <w:lang w:eastAsia="en-GB"/>
          <w14:ligatures w14:val="none"/>
        </w:rPr>
        <w:br/>
        <w:t>Are any declared interests relevant to the meeting agenda, and are adequate arrangements in place to manage them?</w:t>
      </w:r>
    </w:p>
    <w:p w14:paraId="039C7958" w14:textId="77777777" w:rsidR="00CC750E" w:rsidRPr="00CC750E" w:rsidRDefault="00CC750E" w:rsidP="00CC750E">
      <w:pPr>
        <w:spacing w:after="0"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kern w:val="0"/>
          <w:sz w:val="21"/>
          <w:szCs w:val="21"/>
          <w:lang w:eastAsia="en-GB"/>
          <w14:ligatures w14:val="none"/>
        </w:rPr>
        <w:pict w14:anchorId="4CF94972">
          <v:rect id="_x0000_i1075" style="width:0;height:1.5pt" o:hralign="center" o:hrstd="t" o:hr="t" fillcolor="#a0a0a0" stroked="f"/>
        </w:pict>
      </w:r>
    </w:p>
    <w:p w14:paraId="24E7C6C3" w14:textId="77777777" w:rsidR="00CC750E" w:rsidRPr="00CC750E" w:rsidRDefault="00CC750E" w:rsidP="00CC750E">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CC750E">
        <w:rPr>
          <w:rFonts w:ascii="Segoe UI" w:eastAsia="Times New Roman" w:hAnsi="Segoe UI" w:cs="Segoe UI"/>
          <w:b/>
          <w:bCs/>
          <w:kern w:val="0"/>
          <w:sz w:val="36"/>
          <w:szCs w:val="36"/>
          <w:lang w:eastAsia="en-GB"/>
          <w14:ligatures w14:val="none"/>
        </w:rPr>
        <w:t>Paper B: Minutes of the Board Meeting Held on 30 July 2026</w:t>
      </w:r>
    </w:p>
    <w:p w14:paraId="6AC0FD9B"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What is the paper about?</w:t>
      </w:r>
      <w:r w:rsidRPr="00CC750E">
        <w:rPr>
          <w:rFonts w:ascii="Segoe UI" w:eastAsia="Times New Roman" w:hAnsi="Segoe UI" w:cs="Segoe UI"/>
          <w:kern w:val="0"/>
          <w:sz w:val="21"/>
          <w:szCs w:val="21"/>
          <w:lang w:eastAsia="en-GB"/>
          <w14:ligatures w14:val="none"/>
        </w:rPr>
        <w:br/>
        <w:t>The minutes provide the formal record of the previous public Board meeting. The meeting covered committee escalations, performance, operational and strategic risks, organisational change, education, volunteering, estates, dementia care, culture, employment, disengagement, inclusion health and personalised care planning.</w:t>
      </w:r>
    </w:p>
    <w:p w14:paraId="08CE0A30"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Key risks</w:t>
      </w:r>
      <w:r w:rsidRPr="00CC750E">
        <w:rPr>
          <w:rFonts w:ascii="Segoe UI" w:eastAsia="Times New Roman" w:hAnsi="Segoe UI" w:cs="Segoe UI"/>
          <w:kern w:val="0"/>
          <w:sz w:val="21"/>
          <w:szCs w:val="21"/>
          <w:lang w:eastAsia="en-GB"/>
          <w14:ligatures w14:val="none"/>
        </w:rPr>
        <w:br/>
        <w:t>The minutes highlighted continuing risks relating to medical staffing, unsigned commissioner contracts, neurodiversity waiting times, organisational change, out-of-area placements, care planning and the Trust’s ability to deliver agreed actions.</w:t>
      </w:r>
    </w:p>
    <w:p w14:paraId="636995F9"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Key benefits</w:t>
      </w:r>
      <w:r w:rsidRPr="00CC750E">
        <w:rPr>
          <w:rFonts w:ascii="Segoe UI" w:eastAsia="Times New Roman" w:hAnsi="Segoe UI" w:cs="Segoe UI"/>
          <w:kern w:val="0"/>
          <w:sz w:val="21"/>
          <w:szCs w:val="21"/>
          <w:lang w:eastAsia="en-GB"/>
          <w14:ligatures w14:val="none"/>
        </w:rPr>
        <w:br/>
        <w:t>Approval provides an accurate and transparent record of Board discussions, decisions, assurances and agreed actions.</w:t>
      </w:r>
    </w:p>
    <w:p w14:paraId="64AB56AF"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lastRenderedPageBreak/>
        <w:t>Questions to consider</w:t>
      </w:r>
      <w:r w:rsidRPr="00CC750E">
        <w:rPr>
          <w:rFonts w:ascii="Segoe UI" w:eastAsia="Times New Roman" w:hAnsi="Segoe UI" w:cs="Segoe UI"/>
          <w:kern w:val="0"/>
          <w:sz w:val="21"/>
          <w:szCs w:val="21"/>
          <w:lang w:eastAsia="en-GB"/>
          <w14:ligatures w14:val="none"/>
        </w:rPr>
        <w:br/>
        <w:t>Do the minutes accurately reflect the meeting, and have any significant matters changed since 30 July 2026?</w:t>
      </w:r>
    </w:p>
    <w:p w14:paraId="1C2960A0" w14:textId="77777777" w:rsidR="00CC750E" w:rsidRPr="00CC750E" w:rsidRDefault="00CC750E" w:rsidP="00CC750E">
      <w:pPr>
        <w:spacing w:after="0"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kern w:val="0"/>
          <w:sz w:val="21"/>
          <w:szCs w:val="21"/>
          <w:lang w:eastAsia="en-GB"/>
          <w14:ligatures w14:val="none"/>
        </w:rPr>
        <w:pict w14:anchorId="12837D2C">
          <v:rect id="_x0000_i1076" style="width:0;height:1.5pt" o:hralign="center" o:hrstd="t" o:hr="t" fillcolor="#a0a0a0" stroked="f"/>
        </w:pict>
      </w:r>
    </w:p>
    <w:p w14:paraId="7A6CA6EC" w14:textId="77777777" w:rsidR="00CC750E" w:rsidRPr="00CC750E" w:rsidRDefault="00CC750E" w:rsidP="00CC750E">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CC750E">
        <w:rPr>
          <w:rFonts w:ascii="Segoe UI" w:eastAsia="Times New Roman" w:hAnsi="Segoe UI" w:cs="Segoe UI"/>
          <w:b/>
          <w:bCs/>
          <w:kern w:val="0"/>
          <w:sz w:val="36"/>
          <w:szCs w:val="36"/>
          <w:lang w:eastAsia="en-GB"/>
          <w14:ligatures w14:val="none"/>
        </w:rPr>
        <w:t>Paper C: Matters Arising and Action Log</w:t>
      </w:r>
    </w:p>
    <w:p w14:paraId="354CB2E8"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What is the paper about?</w:t>
      </w:r>
      <w:r w:rsidRPr="00CC750E">
        <w:rPr>
          <w:rFonts w:ascii="Segoe UI" w:eastAsia="Times New Roman" w:hAnsi="Segoe UI" w:cs="Segoe UI"/>
          <w:kern w:val="0"/>
          <w:sz w:val="21"/>
          <w:szCs w:val="21"/>
          <w:lang w:eastAsia="en-GB"/>
          <w14:ligatures w14:val="none"/>
        </w:rPr>
        <w:br/>
        <w:t>The paper updates the Board on actions from previous meetings. Most actions were proposed for closure, while the action concerning medical job planning remained open.</w:t>
      </w:r>
    </w:p>
    <w:p w14:paraId="5A783BD5"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Key risks</w:t>
      </w:r>
      <w:r w:rsidRPr="00CC750E">
        <w:rPr>
          <w:rFonts w:ascii="Segoe UI" w:eastAsia="Times New Roman" w:hAnsi="Segoe UI" w:cs="Segoe UI"/>
          <w:kern w:val="0"/>
          <w:sz w:val="21"/>
          <w:szCs w:val="21"/>
          <w:lang w:eastAsia="en-GB"/>
          <w14:ligatures w14:val="none"/>
        </w:rPr>
        <w:br/>
        <w:t>Actions could be closed before evidence confirms that improvements are complete and sustained. Medical job planning continued to require regular oversight.</w:t>
      </w:r>
    </w:p>
    <w:p w14:paraId="519C3424"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Key benefits</w:t>
      </w:r>
      <w:r w:rsidRPr="00CC750E">
        <w:rPr>
          <w:rFonts w:ascii="Segoe UI" w:eastAsia="Times New Roman" w:hAnsi="Segoe UI" w:cs="Segoe UI"/>
          <w:kern w:val="0"/>
          <w:sz w:val="21"/>
          <w:szCs w:val="21"/>
          <w:lang w:eastAsia="en-GB"/>
          <w14:ligatures w14:val="none"/>
        </w:rPr>
        <w:br/>
        <w:t>The log supports accountability and ensures that Board decisions are followed through.</w:t>
      </w:r>
    </w:p>
    <w:p w14:paraId="70893A24"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Questions to consider</w:t>
      </w:r>
      <w:r w:rsidRPr="00CC750E">
        <w:rPr>
          <w:rFonts w:ascii="Segoe UI" w:eastAsia="Times New Roman" w:hAnsi="Segoe UI" w:cs="Segoe UI"/>
          <w:kern w:val="0"/>
          <w:sz w:val="21"/>
          <w:szCs w:val="21"/>
          <w:lang w:eastAsia="en-GB"/>
          <w14:ligatures w14:val="none"/>
        </w:rPr>
        <w:br/>
        <w:t>Is the evidence sufficient to close each action, and what assurance is available regarding the outstanding medical job planning action?</w:t>
      </w:r>
    </w:p>
    <w:p w14:paraId="5B887AF3" w14:textId="77777777" w:rsidR="00CC750E" w:rsidRPr="00CC750E" w:rsidRDefault="00CC750E" w:rsidP="00CC750E">
      <w:pPr>
        <w:spacing w:after="0"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kern w:val="0"/>
          <w:sz w:val="21"/>
          <w:szCs w:val="21"/>
          <w:lang w:eastAsia="en-GB"/>
          <w14:ligatures w14:val="none"/>
        </w:rPr>
        <w:pict w14:anchorId="5965C3E5">
          <v:rect id="_x0000_i1077" style="width:0;height:1.5pt" o:hralign="center" o:hrstd="t" o:hr="t" fillcolor="#a0a0a0" stroked="f"/>
        </w:pict>
      </w:r>
    </w:p>
    <w:p w14:paraId="1DE1B07E" w14:textId="77777777" w:rsidR="00CC750E" w:rsidRPr="00CC750E" w:rsidRDefault="00CC750E" w:rsidP="00CC750E">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CC750E">
        <w:rPr>
          <w:rFonts w:ascii="Segoe UI" w:eastAsia="Times New Roman" w:hAnsi="Segoe UI" w:cs="Segoe UI"/>
          <w:b/>
          <w:bCs/>
          <w:kern w:val="0"/>
          <w:sz w:val="36"/>
          <w:szCs w:val="36"/>
          <w:lang w:eastAsia="en-GB"/>
          <w14:ligatures w14:val="none"/>
        </w:rPr>
        <w:t>Paper D: Quality Committee Report</w:t>
      </w:r>
    </w:p>
    <w:p w14:paraId="763CA10B"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What is the paper about?</w:t>
      </w:r>
      <w:r w:rsidRPr="00CC750E">
        <w:rPr>
          <w:rFonts w:ascii="Segoe UI" w:eastAsia="Times New Roman" w:hAnsi="Segoe UI" w:cs="Segoe UI"/>
          <w:kern w:val="0"/>
          <w:sz w:val="21"/>
          <w:szCs w:val="21"/>
          <w:lang w:eastAsia="en-GB"/>
          <w14:ligatures w14:val="none"/>
        </w:rPr>
        <w:br/>
        <w:t>The report summarises the Quality Committee meeting held on 16 September 2026. Positive patient feedback, low-harm incidents, improved governance, the ligature reduction programme, Dialog+ and vision-based monitoring were discussed.</w:t>
      </w:r>
    </w:p>
    <w:p w14:paraId="0EFB29F2"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Key risks</w:t>
      </w:r>
      <w:r w:rsidRPr="00CC750E">
        <w:rPr>
          <w:rFonts w:ascii="Segoe UI" w:eastAsia="Times New Roman" w:hAnsi="Segoe UI" w:cs="Segoe UI"/>
          <w:kern w:val="0"/>
          <w:sz w:val="21"/>
          <w:szCs w:val="21"/>
          <w:lang w:eastAsia="en-GB"/>
          <w14:ligatures w14:val="none"/>
        </w:rPr>
        <w:br/>
        <w:t>Ongoing concerns included staffing pressures, sickness absence, roster changes, pressure ulcers, waiting times, violence and aggression, operational pressures and overdue patient safety tasks. Community nursing capacity, transfers of care and the ADHD pathway also required oversight.</w:t>
      </w:r>
    </w:p>
    <w:p w14:paraId="5484E1A2"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Key benefits</w:t>
      </w:r>
      <w:r w:rsidRPr="00CC750E">
        <w:rPr>
          <w:rFonts w:ascii="Segoe UI" w:eastAsia="Times New Roman" w:hAnsi="Segoe UI" w:cs="Segoe UI"/>
          <w:kern w:val="0"/>
          <w:sz w:val="21"/>
          <w:szCs w:val="21"/>
          <w:lang w:eastAsia="en-GB"/>
          <w14:ligatures w14:val="none"/>
        </w:rPr>
        <w:br/>
        <w:t>The report provided assurance that quality and safety performance was being monitored and that improvement work was progressing.</w:t>
      </w:r>
    </w:p>
    <w:p w14:paraId="08D0F0F3"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Questions to consider</w:t>
      </w:r>
      <w:r w:rsidRPr="00CC750E">
        <w:rPr>
          <w:rFonts w:ascii="Segoe UI" w:eastAsia="Times New Roman" w:hAnsi="Segoe UI" w:cs="Segoe UI"/>
          <w:kern w:val="0"/>
          <w:sz w:val="21"/>
          <w:szCs w:val="21"/>
          <w:lang w:eastAsia="en-GB"/>
          <w14:ligatures w14:val="none"/>
        </w:rPr>
        <w:br/>
        <w:t>Are staffing and operational pressures being addressed quickly enough, and how will the Trust demonstrate measurable patient outcomes from Dialog+ and vision-based monitoring?</w:t>
      </w:r>
    </w:p>
    <w:p w14:paraId="52B85FBC" w14:textId="77777777" w:rsidR="00CC750E" w:rsidRPr="00CC750E" w:rsidRDefault="00CC750E" w:rsidP="00CC750E">
      <w:pPr>
        <w:spacing w:after="0"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kern w:val="0"/>
          <w:sz w:val="21"/>
          <w:szCs w:val="21"/>
          <w:lang w:eastAsia="en-GB"/>
          <w14:ligatures w14:val="none"/>
        </w:rPr>
        <w:pict w14:anchorId="301909E6">
          <v:rect id="_x0000_i1078" style="width:0;height:1.5pt" o:hralign="center" o:hrstd="t" o:hr="t" fillcolor="#a0a0a0" stroked="f"/>
        </w:pict>
      </w:r>
    </w:p>
    <w:p w14:paraId="063D97C0" w14:textId="77777777" w:rsidR="00CC750E" w:rsidRPr="00CC750E" w:rsidRDefault="00CC750E" w:rsidP="00CC750E">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CC750E">
        <w:rPr>
          <w:rFonts w:ascii="Segoe UI" w:eastAsia="Times New Roman" w:hAnsi="Segoe UI" w:cs="Segoe UI"/>
          <w:b/>
          <w:bCs/>
          <w:kern w:val="0"/>
          <w:sz w:val="36"/>
          <w:szCs w:val="36"/>
          <w:lang w:eastAsia="en-GB"/>
          <w14:ligatures w14:val="none"/>
        </w:rPr>
        <w:lastRenderedPageBreak/>
        <w:t>Paper E: Audit Committee Report</w:t>
      </w:r>
    </w:p>
    <w:p w14:paraId="03F35C2C"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What is the paper about?</w:t>
      </w:r>
      <w:r w:rsidRPr="00CC750E">
        <w:rPr>
          <w:rFonts w:ascii="Segoe UI" w:eastAsia="Times New Roman" w:hAnsi="Segoe UI" w:cs="Segoe UI"/>
          <w:kern w:val="0"/>
          <w:sz w:val="21"/>
          <w:szCs w:val="21"/>
          <w:lang w:eastAsia="en-GB"/>
          <w14:ligatures w14:val="none"/>
        </w:rPr>
        <w:br/>
        <w:t>The report summarises the Audit Committee meeting held on 4 August 2026. It covered counter fraud, internal audit, financial instructions, risk management, research governance and arrangements for raising concerns.</w:t>
      </w:r>
    </w:p>
    <w:p w14:paraId="2A23B909"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Key risks</w:t>
      </w:r>
      <w:r w:rsidRPr="00CC750E">
        <w:rPr>
          <w:rFonts w:ascii="Segoe UI" w:eastAsia="Times New Roman" w:hAnsi="Segoe UI" w:cs="Segoe UI"/>
          <w:kern w:val="0"/>
          <w:sz w:val="21"/>
          <w:szCs w:val="21"/>
          <w:lang w:eastAsia="en-GB"/>
          <w14:ligatures w14:val="none"/>
        </w:rPr>
        <w:br/>
        <w:t>There were 37 risks outside tolerance at the time of the meeting. Moderate assurance was received for CQC readiness, and an increase in single quote waivers could indicate weaknesses in procurement compliance.</w:t>
      </w:r>
    </w:p>
    <w:p w14:paraId="377E58D3"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Key benefits</w:t>
      </w:r>
      <w:r w:rsidRPr="00CC750E">
        <w:rPr>
          <w:rFonts w:ascii="Segoe UI" w:eastAsia="Times New Roman" w:hAnsi="Segoe UI" w:cs="Segoe UI"/>
          <w:kern w:val="0"/>
          <w:sz w:val="21"/>
          <w:szCs w:val="21"/>
          <w:lang w:eastAsia="en-GB"/>
          <w14:ligatures w14:val="none"/>
        </w:rPr>
        <w:br/>
        <w:t>The Trust received significant assurance for out-of-area placement financial governance and a positive Data Security and Protection Toolkit outcome. Research recruitment exceeded target and achieved external accreditation.</w:t>
      </w:r>
    </w:p>
    <w:p w14:paraId="0522663B"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Questions to consider</w:t>
      </w:r>
      <w:r w:rsidRPr="00CC750E">
        <w:rPr>
          <w:rFonts w:ascii="Segoe UI" w:eastAsia="Times New Roman" w:hAnsi="Segoe UI" w:cs="Segoe UI"/>
          <w:kern w:val="0"/>
          <w:sz w:val="21"/>
          <w:szCs w:val="21"/>
          <w:lang w:eastAsia="en-GB"/>
          <w14:ligatures w14:val="none"/>
        </w:rPr>
        <w:br/>
        <w:t>Are CQC readiness actions progressing to plan, and what is being done to reduce single quote waivers and improve financial compliance?</w:t>
      </w:r>
    </w:p>
    <w:p w14:paraId="13B8952A" w14:textId="77777777" w:rsidR="00CC750E" w:rsidRPr="00CC750E" w:rsidRDefault="00CC750E" w:rsidP="00CC750E">
      <w:pPr>
        <w:spacing w:after="0"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kern w:val="0"/>
          <w:sz w:val="21"/>
          <w:szCs w:val="21"/>
          <w:lang w:eastAsia="en-GB"/>
          <w14:ligatures w14:val="none"/>
        </w:rPr>
        <w:pict w14:anchorId="4B9D9100">
          <v:rect id="_x0000_i1079" style="width:0;height:1.5pt" o:hralign="center" o:hrstd="t" o:hr="t" fillcolor="#a0a0a0" stroked="f"/>
        </w:pict>
      </w:r>
    </w:p>
    <w:p w14:paraId="2B3F3AC9" w14:textId="77777777" w:rsidR="00CC750E" w:rsidRPr="00CC750E" w:rsidRDefault="00CC750E" w:rsidP="00CC750E">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CC750E">
        <w:rPr>
          <w:rFonts w:ascii="Segoe UI" w:eastAsia="Times New Roman" w:hAnsi="Segoe UI" w:cs="Segoe UI"/>
          <w:b/>
          <w:bCs/>
          <w:kern w:val="0"/>
          <w:sz w:val="36"/>
          <w:szCs w:val="36"/>
          <w:lang w:eastAsia="en-GB"/>
          <w14:ligatures w14:val="none"/>
        </w:rPr>
        <w:t>Paper F: Mental Health Act Committee Report</w:t>
      </w:r>
    </w:p>
    <w:p w14:paraId="33BEF248"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What is the paper about?</w:t>
      </w:r>
      <w:r w:rsidRPr="00CC750E">
        <w:rPr>
          <w:rFonts w:ascii="Segoe UI" w:eastAsia="Times New Roman" w:hAnsi="Segoe UI" w:cs="Segoe UI"/>
          <w:kern w:val="0"/>
          <w:sz w:val="21"/>
          <w:szCs w:val="21"/>
          <w:lang w:eastAsia="en-GB"/>
          <w14:ligatures w14:val="none"/>
        </w:rPr>
        <w:br/>
        <w:t>The report covers Mental Health Act performance, training, compliance, equalities, CQC actions and a detailed review of performance within Rotherham.</w:t>
      </w:r>
    </w:p>
    <w:p w14:paraId="3F619603"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Key risks</w:t>
      </w:r>
      <w:r w:rsidRPr="00CC750E">
        <w:rPr>
          <w:rFonts w:ascii="Segoe UI" w:eastAsia="Times New Roman" w:hAnsi="Segoe UI" w:cs="Segoe UI"/>
          <w:kern w:val="0"/>
          <w:sz w:val="21"/>
          <w:szCs w:val="21"/>
          <w:lang w:eastAsia="en-GB"/>
          <w14:ligatures w14:val="none"/>
        </w:rPr>
        <w:br/>
        <w:t>Three unlawful detentions were identified, all in Rotherham. Concerns remained about Section 132 rights, capacity assessments, documentation, medical staffing, training compliance, data quality and disproportionate detention rates for Black and mixed ethnicity groups.</w:t>
      </w:r>
    </w:p>
    <w:p w14:paraId="1DC4D379"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Key benefits</w:t>
      </w:r>
      <w:r w:rsidRPr="00CC750E">
        <w:rPr>
          <w:rFonts w:ascii="Segoe UI" w:eastAsia="Times New Roman" w:hAnsi="Segoe UI" w:cs="Segoe UI"/>
          <w:kern w:val="0"/>
          <w:sz w:val="21"/>
          <w:szCs w:val="21"/>
          <w:lang w:eastAsia="en-GB"/>
          <w14:ligatures w14:val="none"/>
        </w:rPr>
        <w:br/>
        <w:t>Mental Health Act and restrictive intervention training improved. All Section 136 assessments were completed within legal timescales, treatment certification remained compliant and seclusion review compliance reached 100%.</w:t>
      </w:r>
    </w:p>
    <w:p w14:paraId="22F18F64"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Questions to consider</w:t>
      </w:r>
      <w:r w:rsidRPr="00CC750E">
        <w:rPr>
          <w:rFonts w:ascii="Segoe UI" w:eastAsia="Times New Roman" w:hAnsi="Segoe UI" w:cs="Segoe UI"/>
          <w:kern w:val="0"/>
          <w:sz w:val="21"/>
          <w:szCs w:val="21"/>
          <w:lang w:eastAsia="en-GB"/>
          <w14:ligatures w14:val="none"/>
        </w:rPr>
        <w:br/>
        <w:t>What immediate actions have been taken following the unlawful detentions, and how will the Trust improve Rotherham performance and reduce inequalities in detention?</w:t>
      </w:r>
    </w:p>
    <w:p w14:paraId="2816BF47" w14:textId="77777777" w:rsidR="00CC750E" w:rsidRPr="00CC750E" w:rsidRDefault="00CC750E" w:rsidP="00CC750E">
      <w:pPr>
        <w:spacing w:after="0"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kern w:val="0"/>
          <w:sz w:val="21"/>
          <w:szCs w:val="21"/>
          <w:lang w:eastAsia="en-GB"/>
          <w14:ligatures w14:val="none"/>
        </w:rPr>
        <w:pict w14:anchorId="76D07BAC">
          <v:rect id="_x0000_i1080" style="width:0;height:1.5pt" o:hralign="center" o:hrstd="t" o:hr="t" fillcolor="#a0a0a0" stroked="f"/>
        </w:pict>
      </w:r>
    </w:p>
    <w:p w14:paraId="0BB4D95E" w14:textId="77777777" w:rsidR="00CC750E" w:rsidRPr="00CC750E" w:rsidRDefault="00CC750E" w:rsidP="00CC750E">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CC750E">
        <w:rPr>
          <w:rFonts w:ascii="Segoe UI" w:eastAsia="Times New Roman" w:hAnsi="Segoe UI" w:cs="Segoe UI"/>
          <w:b/>
          <w:bCs/>
          <w:kern w:val="0"/>
          <w:sz w:val="36"/>
          <w:szCs w:val="36"/>
          <w:lang w:eastAsia="en-GB"/>
          <w14:ligatures w14:val="none"/>
        </w:rPr>
        <w:lastRenderedPageBreak/>
        <w:t>Paper G: People and Organisational Development Committee Report</w:t>
      </w:r>
    </w:p>
    <w:p w14:paraId="3403A512"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What is the paper about?</w:t>
      </w:r>
      <w:r w:rsidRPr="00CC750E">
        <w:rPr>
          <w:rFonts w:ascii="Segoe UI" w:eastAsia="Times New Roman" w:hAnsi="Segoe UI" w:cs="Segoe UI"/>
          <w:kern w:val="0"/>
          <w:sz w:val="21"/>
          <w:szCs w:val="21"/>
          <w:lang w:eastAsia="en-GB"/>
          <w14:ligatures w14:val="none"/>
        </w:rPr>
        <w:br/>
        <w:t xml:space="preserve">The report covers workforce performance, medical revalidation, education, WRES, WDES, the gender </w:t>
      </w:r>
      <w:proofErr w:type="gramStart"/>
      <w:r w:rsidRPr="00CC750E">
        <w:rPr>
          <w:rFonts w:ascii="Segoe UI" w:eastAsia="Times New Roman" w:hAnsi="Segoe UI" w:cs="Segoe UI"/>
          <w:kern w:val="0"/>
          <w:sz w:val="21"/>
          <w:szCs w:val="21"/>
          <w:lang w:eastAsia="en-GB"/>
          <w14:ligatures w14:val="none"/>
        </w:rPr>
        <w:t>pay</w:t>
      </w:r>
      <w:proofErr w:type="gramEnd"/>
      <w:r w:rsidRPr="00CC750E">
        <w:rPr>
          <w:rFonts w:ascii="Segoe UI" w:eastAsia="Times New Roman" w:hAnsi="Segoe UI" w:cs="Segoe UI"/>
          <w:kern w:val="0"/>
          <w:sz w:val="21"/>
          <w:szCs w:val="21"/>
          <w:lang w:eastAsia="en-GB"/>
          <w14:ligatures w14:val="none"/>
        </w:rPr>
        <w:t xml:space="preserve"> gap, staff safety and safe working hours.</w:t>
      </w:r>
    </w:p>
    <w:p w14:paraId="0AE066AE"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Key risks</w:t>
      </w:r>
      <w:r w:rsidRPr="00CC750E">
        <w:rPr>
          <w:rFonts w:ascii="Segoe UI" w:eastAsia="Times New Roman" w:hAnsi="Segoe UI" w:cs="Segoe UI"/>
          <w:kern w:val="0"/>
          <w:sz w:val="21"/>
          <w:szCs w:val="21"/>
          <w:lang w:eastAsia="en-GB"/>
          <w14:ligatures w14:val="none"/>
        </w:rPr>
        <w:br/>
        <w:t>Sickness absence remained above target at 7.04%, and agency expenditure increased because of medical vacancies. Disparities remained in recruitment, disciplinary outcomes, disability inclusion, bullying and staff experience.</w:t>
      </w:r>
    </w:p>
    <w:p w14:paraId="5DCFCB18"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Key benefits</w:t>
      </w:r>
      <w:r w:rsidRPr="00CC750E">
        <w:rPr>
          <w:rFonts w:ascii="Segoe UI" w:eastAsia="Times New Roman" w:hAnsi="Segoe UI" w:cs="Segoe UI"/>
          <w:kern w:val="0"/>
          <w:sz w:val="21"/>
          <w:szCs w:val="21"/>
          <w:lang w:eastAsia="en-GB"/>
          <w14:ligatures w14:val="none"/>
        </w:rPr>
        <w:br/>
        <w:t>Vacancy and turnover levels were relatively stable, PDR compliance exceeded target, medical revalidation remained fully compliant and the gender pay gap reduced to 2.22%.</w:t>
      </w:r>
    </w:p>
    <w:p w14:paraId="07AF462B"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Questions to consider</w:t>
      </w:r>
      <w:r w:rsidRPr="00CC750E">
        <w:rPr>
          <w:rFonts w:ascii="Segoe UI" w:eastAsia="Times New Roman" w:hAnsi="Segoe UI" w:cs="Segoe UI"/>
          <w:kern w:val="0"/>
          <w:sz w:val="21"/>
          <w:szCs w:val="21"/>
          <w:lang w:eastAsia="en-GB"/>
          <w14:ligatures w14:val="none"/>
        </w:rPr>
        <w:br/>
        <w:t>What further action will reduce sickness and agency reliance, and how will the Trust demonstrate improvement in workforce race and disability equality?</w:t>
      </w:r>
    </w:p>
    <w:p w14:paraId="6A23890E" w14:textId="77777777" w:rsidR="00CC750E" w:rsidRPr="00CC750E" w:rsidRDefault="00CC750E" w:rsidP="00CC750E">
      <w:pPr>
        <w:spacing w:after="0"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kern w:val="0"/>
          <w:sz w:val="21"/>
          <w:szCs w:val="21"/>
          <w:lang w:eastAsia="en-GB"/>
          <w14:ligatures w14:val="none"/>
        </w:rPr>
        <w:pict w14:anchorId="37256B0C">
          <v:rect id="_x0000_i1081" style="width:0;height:1.5pt" o:hralign="center" o:hrstd="t" o:hr="t" fillcolor="#a0a0a0" stroked="f"/>
        </w:pict>
      </w:r>
    </w:p>
    <w:p w14:paraId="704DC915" w14:textId="77777777" w:rsidR="00CC750E" w:rsidRPr="00CC750E" w:rsidRDefault="00CC750E" w:rsidP="00CC750E">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CC750E">
        <w:rPr>
          <w:rFonts w:ascii="Segoe UI" w:eastAsia="Times New Roman" w:hAnsi="Segoe UI" w:cs="Segoe UI"/>
          <w:b/>
          <w:bCs/>
          <w:kern w:val="0"/>
          <w:sz w:val="36"/>
          <w:szCs w:val="36"/>
          <w:lang w:eastAsia="en-GB"/>
          <w14:ligatures w14:val="none"/>
        </w:rPr>
        <w:t>Paper H: Public Health, Patient Involvement and Partnerships Committee Report</w:t>
      </w:r>
    </w:p>
    <w:p w14:paraId="73281327"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What is the paper about?</w:t>
      </w:r>
      <w:r w:rsidRPr="00CC750E">
        <w:rPr>
          <w:rFonts w:ascii="Segoe UI" w:eastAsia="Times New Roman" w:hAnsi="Segoe UI" w:cs="Segoe UI"/>
          <w:kern w:val="0"/>
          <w:sz w:val="21"/>
          <w:szCs w:val="21"/>
          <w:lang w:eastAsia="en-GB"/>
          <w14:ligatures w14:val="none"/>
        </w:rPr>
        <w:br/>
        <w:t>The report covers school readiness, veterans, health inequalities, eating disorders, poverty proofing and the Committee’s workplan.</w:t>
      </w:r>
    </w:p>
    <w:p w14:paraId="6373A7FE"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Key risks</w:t>
      </w:r>
      <w:r w:rsidRPr="00CC750E">
        <w:rPr>
          <w:rFonts w:ascii="Segoe UI" w:eastAsia="Times New Roman" w:hAnsi="Segoe UI" w:cs="Segoe UI"/>
          <w:kern w:val="0"/>
          <w:sz w:val="21"/>
          <w:szCs w:val="21"/>
          <w:lang w:eastAsia="en-GB"/>
          <w14:ligatures w14:val="none"/>
        </w:rPr>
        <w:br/>
        <w:t>Most health inequalities indicators were not progressing at the required rate. The main concern was ensuring that the Trust converted its extensive poverty-proofing work into practical service changes.</w:t>
      </w:r>
    </w:p>
    <w:p w14:paraId="6700999B"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Key benefits</w:t>
      </w:r>
      <w:r w:rsidRPr="00CC750E">
        <w:rPr>
          <w:rFonts w:ascii="Segoe UI" w:eastAsia="Times New Roman" w:hAnsi="Segoe UI" w:cs="Segoe UI"/>
          <w:kern w:val="0"/>
          <w:sz w:val="21"/>
          <w:szCs w:val="21"/>
          <w:lang w:eastAsia="en-GB"/>
          <w14:ligatures w14:val="none"/>
        </w:rPr>
        <w:br/>
        <w:t>The Trust completed poverty proofing across its clinical services. School readiness work showed strong participation, veteran peer support was progressing and community eating disorder services were expanding.</w:t>
      </w:r>
    </w:p>
    <w:p w14:paraId="1D11C373"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Questions to consider</w:t>
      </w:r>
      <w:r w:rsidRPr="00CC750E">
        <w:rPr>
          <w:rFonts w:ascii="Segoe UI" w:eastAsia="Times New Roman" w:hAnsi="Segoe UI" w:cs="Segoe UI"/>
          <w:kern w:val="0"/>
          <w:sz w:val="21"/>
          <w:szCs w:val="21"/>
          <w:lang w:eastAsia="en-GB"/>
          <w14:ligatures w14:val="none"/>
        </w:rPr>
        <w:br/>
        <w:t>What measurable changes have resulted from poverty proofing, and does each underperforming health inequalities area have the leadership, resources and delivery plan needed to improve during 2027?</w:t>
      </w:r>
    </w:p>
    <w:p w14:paraId="4D83DB15" w14:textId="77777777" w:rsidR="00CC750E" w:rsidRPr="00CC750E" w:rsidRDefault="00CC750E" w:rsidP="00CC750E">
      <w:pPr>
        <w:spacing w:after="0"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kern w:val="0"/>
          <w:sz w:val="21"/>
          <w:szCs w:val="21"/>
          <w:lang w:eastAsia="en-GB"/>
          <w14:ligatures w14:val="none"/>
        </w:rPr>
        <w:lastRenderedPageBreak/>
        <w:pict w14:anchorId="3188850D">
          <v:rect id="_x0000_i1082" style="width:0;height:1.5pt" o:hralign="center" o:hrstd="t" o:hr="t" fillcolor="#a0a0a0" stroked="f"/>
        </w:pict>
      </w:r>
    </w:p>
    <w:p w14:paraId="56789955" w14:textId="77777777" w:rsidR="00CC750E" w:rsidRPr="00CC750E" w:rsidRDefault="00CC750E" w:rsidP="00CC750E">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CC750E">
        <w:rPr>
          <w:rFonts w:ascii="Segoe UI" w:eastAsia="Times New Roman" w:hAnsi="Segoe UI" w:cs="Segoe UI"/>
          <w:b/>
          <w:bCs/>
          <w:kern w:val="0"/>
          <w:sz w:val="36"/>
          <w:szCs w:val="36"/>
          <w:lang w:eastAsia="en-GB"/>
          <w14:ligatures w14:val="none"/>
        </w:rPr>
        <w:t>Paper I: Finance, Digital and Estates Committee Report</w:t>
      </w:r>
    </w:p>
    <w:p w14:paraId="6B9F3083"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What is the paper about?</w:t>
      </w:r>
      <w:r w:rsidRPr="00CC750E">
        <w:rPr>
          <w:rFonts w:ascii="Segoe UI" w:eastAsia="Times New Roman" w:hAnsi="Segoe UI" w:cs="Segoe UI"/>
          <w:kern w:val="0"/>
          <w:sz w:val="21"/>
          <w:szCs w:val="21"/>
          <w:lang w:eastAsia="en-GB"/>
          <w14:ligatures w14:val="none"/>
        </w:rPr>
        <w:br/>
        <w:t>The report covers finance, contracts, cyber security, procurement, costing, the estates programme and a strategic risk concerning the use of data.</w:t>
      </w:r>
    </w:p>
    <w:p w14:paraId="5514FB3D"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Key risks</w:t>
      </w:r>
      <w:r w:rsidRPr="00CC750E">
        <w:rPr>
          <w:rFonts w:ascii="Segoe UI" w:eastAsia="Times New Roman" w:hAnsi="Segoe UI" w:cs="Segoe UI"/>
          <w:kern w:val="0"/>
          <w:sz w:val="21"/>
          <w:szCs w:val="21"/>
          <w:lang w:eastAsia="en-GB"/>
          <w14:ligatures w14:val="none"/>
        </w:rPr>
        <w:br/>
        <w:t>Contracts with South Yorkshire and Humber and North Yorkshire Integrated Care Boards remained unsigned. Temporary staffing, vacancies, lower rehabilitation occupancy and delayed procurement arrangements also presented risks.</w:t>
      </w:r>
    </w:p>
    <w:p w14:paraId="20F7317F"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Key benefits</w:t>
      </w:r>
      <w:r w:rsidRPr="00CC750E">
        <w:rPr>
          <w:rFonts w:ascii="Segoe UI" w:eastAsia="Times New Roman" w:hAnsi="Segoe UI" w:cs="Segoe UI"/>
          <w:kern w:val="0"/>
          <w:sz w:val="21"/>
          <w:szCs w:val="21"/>
          <w:lang w:eastAsia="en-GB"/>
          <w14:ligatures w14:val="none"/>
        </w:rPr>
        <w:br/>
        <w:t>The Trust retained a green financial oversight rating, remained close to plan, maintained strong cyber compliance and continued progressing the Tickhill Road redevelopment.</w:t>
      </w:r>
    </w:p>
    <w:p w14:paraId="4632A2EA"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Questions to consider</w:t>
      </w:r>
      <w:r w:rsidRPr="00CC750E">
        <w:rPr>
          <w:rFonts w:ascii="Segoe UI" w:eastAsia="Times New Roman" w:hAnsi="Segoe UI" w:cs="Segoe UI"/>
          <w:kern w:val="0"/>
          <w:sz w:val="21"/>
          <w:szCs w:val="21"/>
          <w:lang w:eastAsia="en-GB"/>
          <w14:ligatures w14:val="none"/>
        </w:rPr>
        <w:br/>
        <w:t>What is the timetable for resolving both unsigned contracts, and what contingency arrangements are in place if agreement is delayed further?</w:t>
      </w:r>
    </w:p>
    <w:p w14:paraId="1FA0B351" w14:textId="77777777" w:rsidR="00CC750E" w:rsidRPr="00CC750E" w:rsidRDefault="00CC750E" w:rsidP="00CC750E">
      <w:pPr>
        <w:spacing w:after="0"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kern w:val="0"/>
          <w:sz w:val="21"/>
          <w:szCs w:val="21"/>
          <w:lang w:eastAsia="en-GB"/>
          <w14:ligatures w14:val="none"/>
        </w:rPr>
        <w:pict w14:anchorId="5D650775">
          <v:rect id="_x0000_i1083" style="width:0;height:1.5pt" o:hralign="center" o:hrstd="t" o:hr="t" fillcolor="#a0a0a0" stroked="f"/>
        </w:pict>
      </w:r>
    </w:p>
    <w:p w14:paraId="730BE8C3" w14:textId="77777777" w:rsidR="00CC750E" w:rsidRPr="00CC750E" w:rsidRDefault="00CC750E" w:rsidP="00CC750E">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CC750E">
        <w:rPr>
          <w:rFonts w:ascii="Segoe UI" w:eastAsia="Times New Roman" w:hAnsi="Segoe UI" w:cs="Segoe UI"/>
          <w:b/>
          <w:bCs/>
          <w:kern w:val="0"/>
          <w:sz w:val="36"/>
          <w:szCs w:val="36"/>
          <w:lang w:eastAsia="en-GB"/>
          <w14:ligatures w14:val="none"/>
        </w:rPr>
        <w:t>Paper J: Strategic Delivery Risks</w:t>
      </w:r>
    </w:p>
    <w:p w14:paraId="2AED85D7"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What is the paper about?</w:t>
      </w:r>
      <w:r w:rsidRPr="00CC750E">
        <w:rPr>
          <w:rFonts w:ascii="Segoe UI" w:eastAsia="Times New Roman" w:hAnsi="Segoe UI" w:cs="Segoe UI"/>
          <w:kern w:val="0"/>
          <w:sz w:val="21"/>
          <w:szCs w:val="21"/>
          <w:lang w:eastAsia="en-GB"/>
          <w14:ligatures w14:val="none"/>
        </w:rPr>
        <w:br/>
        <w:t>The paper updates the five Strategic Delivery Risks, with detailed consideration of SDR2 concerning data and equity and SDR4 concerning bed-based care. All five risks had adequate inferred assurance and remained within tolerance.</w:t>
      </w:r>
    </w:p>
    <w:p w14:paraId="75344C77"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Key risks</w:t>
      </w:r>
      <w:r w:rsidRPr="00CC750E">
        <w:rPr>
          <w:rFonts w:ascii="Segoe UI" w:eastAsia="Times New Roman" w:hAnsi="Segoe UI" w:cs="Segoe UI"/>
          <w:kern w:val="0"/>
          <w:sz w:val="21"/>
          <w:szCs w:val="21"/>
          <w:lang w:eastAsia="en-GB"/>
          <w14:ligatures w14:val="none"/>
        </w:rPr>
        <w:br/>
        <w:t>SDR2 continued to have a gap around leadership time and focus. SDR4 had gaps relating to affordability, national terms and conditions, workforce models, weekend discharge and independent assurance.</w:t>
      </w:r>
    </w:p>
    <w:p w14:paraId="72665662"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Key benefits</w:t>
      </w:r>
      <w:r w:rsidRPr="00CC750E">
        <w:rPr>
          <w:rFonts w:ascii="Segoe UI" w:eastAsia="Times New Roman" w:hAnsi="Segoe UI" w:cs="Segoe UI"/>
          <w:kern w:val="0"/>
          <w:sz w:val="21"/>
          <w:szCs w:val="21"/>
          <w:lang w:eastAsia="en-GB"/>
          <w14:ligatures w14:val="none"/>
        </w:rPr>
        <w:br/>
        <w:t>The revised approach gives committees responsibility for scrutinising each strategic risk before it reaches the Board. A 360 Assurance audit is planned for later in 2026/27.</w:t>
      </w:r>
    </w:p>
    <w:p w14:paraId="5B0CCFD5"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Questions to consider</w:t>
      </w:r>
      <w:r w:rsidRPr="00CC750E">
        <w:rPr>
          <w:rFonts w:ascii="Segoe UI" w:eastAsia="Times New Roman" w:hAnsi="Segoe UI" w:cs="Segoe UI"/>
          <w:kern w:val="0"/>
          <w:sz w:val="21"/>
          <w:szCs w:val="21"/>
          <w:lang w:eastAsia="en-GB"/>
          <w14:ligatures w14:val="none"/>
        </w:rPr>
        <w:br/>
        <w:t>Are adequate assurance ratings justified when several significant gaps remain, and are the target scores and dates realistic?</w:t>
      </w:r>
    </w:p>
    <w:p w14:paraId="158DFD51" w14:textId="77777777" w:rsidR="00CC750E" w:rsidRPr="00CC750E" w:rsidRDefault="00CC750E" w:rsidP="00CC750E">
      <w:pPr>
        <w:spacing w:after="0"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kern w:val="0"/>
          <w:sz w:val="21"/>
          <w:szCs w:val="21"/>
          <w:lang w:eastAsia="en-GB"/>
          <w14:ligatures w14:val="none"/>
        </w:rPr>
        <w:pict w14:anchorId="07DBF524">
          <v:rect id="_x0000_i1084" style="width:0;height:1.5pt" o:hralign="center" o:hrstd="t" o:hr="t" fillcolor="#a0a0a0" stroked="f"/>
        </w:pict>
      </w:r>
    </w:p>
    <w:p w14:paraId="033BC53A" w14:textId="77777777" w:rsidR="00CC750E" w:rsidRPr="00CC750E" w:rsidRDefault="00CC750E" w:rsidP="00CC750E">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CC750E">
        <w:rPr>
          <w:rFonts w:ascii="Segoe UI" w:eastAsia="Times New Roman" w:hAnsi="Segoe UI" w:cs="Segoe UI"/>
          <w:b/>
          <w:bCs/>
          <w:kern w:val="0"/>
          <w:sz w:val="36"/>
          <w:szCs w:val="36"/>
          <w:lang w:eastAsia="en-GB"/>
          <w14:ligatures w14:val="none"/>
        </w:rPr>
        <w:lastRenderedPageBreak/>
        <w:t>Paper K: Operational Risk Report</w:t>
      </w:r>
    </w:p>
    <w:p w14:paraId="2709E969"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What is the paper about?</w:t>
      </w:r>
      <w:r w:rsidRPr="00CC750E">
        <w:rPr>
          <w:rFonts w:ascii="Segoe UI" w:eastAsia="Times New Roman" w:hAnsi="Segoe UI" w:cs="Segoe UI"/>
          <w:kern w:val="0"/>
          <w:sz w:val="21"/>
          <w:szCs w:val="21"/>
          <w:lang w:eastAsia="en-GB"/>
          <w14:ligatures w14:val="none"/>
        </w:rPr>
        <w:br/>
        <w:t>The report presents the Trust’s operational risk position and seeks approval of Risk Management Framework version 13. The register increased from 386 to 431 risks, while risks outside tolerance reduced from 38 to 35.</w:t>
      </w:r>
    </w:p>
    <w:p w14:paraId="424C227C"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Key risks</w:t>
      </w:r>
      <w:r w:rsidRPr="00CC750E">
        <w:rPr>
          <w:rFonts w:ascii="Segoe UI" w:eastAsia="Times New Roman" w:hAnsi="Segoe UI" w:cs="Segoe UI"/>
          <w:kern w:val="0"/>
          <w:sz w:val="21"/>
          <w:szCs w:val="21"/>
          <w:lang w:eastAsia="en-GB"/>
          <w14:ligatures w14:val="none"/>
        </w:rPr>
        <w:br/>
        <w:t>The most significant new concerns related to inadequate care records at Danescourt and unsafe paper-based medication recording at Diamond Lodge. Other major risks included the discontinuation of Levemir, podiatry capacity, community nursing demand, neurodevelopmental waits, medical staffing and MHA team capacity.</w:t>
      </w:r>
    </w:p>
    <w:p w14:paraId="7DD3C882"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Key benefits</w:t>
      </w:r>
      <w:r w:rsidRPr="00CC750E">
        <w:rPr>
          <w:rFonts w:ascii="Segoe UI" w:eastAsia="Times New Roman" w:hAnsi="Segoe UI" w:cs="Segoe UI"/>
          <w:kern w:val="0"/>
          <w:sz w:val="21"/>
          <w:szCs w:val="21"/>
          <w:lang w:eastAsia="en-GB"/>
          <w14:ligatures w14:val="none"/>
        </w:rPr>
        <w:br/>
        <w:t>The revised framework clarifies escalation, authority to accept risk and arrangements for closing risks. From 1 October 2026, all staff will be able to view the risk register through Radar.</w:t>
      </w:r>
    </w:p>
    <w:p w14:paraId="40C01EC9"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Questions to consider</w:t>
      </w:r>
      <w:r w:rsidRPr="00CC750E">
        <w:rPr>
          <w:rFonts w:ascii="Segoe UI" w:eastAsia="Times New Roman" w:hAnsi="Segoe UI" w:cs="Segoe UI"/>
          <w:kern w:val="0"/>
          <w:sz w:val="21"/>
          <w:szCs w:val="21"/>
          <w:lang w:eastAsia="en-GB"/>
          <w14:ligatures w14:val="none"/>
        </w:rPr>
        <w:br/>
        <w:t>What immediate assurance is available regarding Danescourt and Diamond Lodge, and are the projected return-to-tolerance dates supported by realistic evidence?</w:t>
      </w:r>
    </w:p>
    <w:p w14:paraId="2569CCBA" w14:textId="77777777" w:rsidR="00CC750E" w:rsidRPr="00CC750E" w:rsidRDefault="00CC750E" w:rsidP="00CC750E">
      <w:pPr>
        <w:spacing w:after="0"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kern w:val="0"/>
          <w:sz w:val="21"/>
          <w:szCs w:val="21"/>
          <w:lang w:eastAsia="en-GB"/>
          <w14:ligatures w14:val="none"/>
        </w:rPr>
        <w:pict w14:anchorId="1C580D31">
          <v:rect id="_x0000_i1085" style="width:0;height:1.5pt" o:hralign="center" o:hrstd="t" o:hr="t" fillcolor="#a0a0a0" stroked="f"/>
        </w:pict>
      </w:r>
    </w:p>
    <w:p w14:paraId="66DFCEE3" w14:textId="77777777" w:rsidR="00CC750E" w:rsidRPr="00CC750E" w:rsidRDefault="00CC750E" w:rsidP="00CC750E">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CC750E">
        <w:rPr>
          <w:rFonts w:ascii="Segoe UI" w:eastAsia="Times New Roman" w:hAnsi="Segoe UI" w:cs="Segoe UI"/>
          <w:b/>
          <w:bCs/>
          <w:kern w:val="0"/>
          <w:sz w:val="36"/>
          <w:szCs w:val="36"/>
          <w:lang w:eastAsia="en-GB"/>
          <w14:ligatures w14:val="none"/>
        </w:rPr>
        <w:t>Paper L: Promises and Priorities Scorecard</w:t>
      </w:r>
    </w:p>
    <w:p w14:paraId="3310DA12"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What is the paper about?</w:t>
      </w:r>
      <w:r w:rsidRPr="00CC750E">
        <w:rPr>
          <w:rFonts w:ascii="Segoe UI" w:eastAsia="Times New Roman" w:hAnsi="Segoe UI" w:cs="Segoe UI"/>
          <w:kern w:val="0"/>
          <w:sz w:val="21"/>
          <w:szCs w:val="21"/>
          <w:lang w:eastAsia="en-GB"/>
          <w14:ligatures w14:val="none"/>
        </w:rPr>
        <w:br/>
        <w:t>The paper focuses on the lowest-performing success measures and the work required to deliver them by 2028. It identifies challenges relating to health inequalities, neighbourhood services, digital and outreach provision, outcomes, weekend discharge, antiracism and carbon reduction.</w:t>
      </w:r>
    </w:p>
    <w:p w14:paraId="288AA4D4"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Key risks</w:t>
      </w:r>
      <w:r w:rsidRPr="00CC750E">
        <w:rPr>
          <w:rFonts w:ascii="Segoe UI" w:eastAsia="Times New Roman" w:hAnsi="Segoe UI" w:cs="Segoe UI"/>
          <w:kern w:val="0"/>
          <w:sz w:val="21"/>
          <w:szCs w:val="21"/>
          <w:lang w:eastAsia="en-GB"/>
          <w14:ligatures w14:val="none"/>
        </w:rPr>
        <w:br/>
        <w:t xml:space="preserve">Several delivery plans were incomplete or rated red or </w:t>
      </w:r>
      <w:proofErr w:type="gramStart"/>
      <w:r w:rsidRPr="00CC750E">
        <w:rPr>
          <w:rFonts w:ascii="Segoe UI" w:eastAsia="Times New Roman" w:hAnsi="Segoe UI" w:cs="Segoe UI"/>
          <w:kern w:val="0"/>
          <w:sz w:val="21"/>
          <w:szCs w:val="21"/>
          <w:lang w:eastAsia="en-GB"/>
          <w14:ligatures w14:val="none"/>
        </w:rPr>
        <w:t>amber-red.</w:t>
      </w:r>
      <w:proofErr w:type="gramEnd"/>
      <w:r w:rsidRPr="00CC750E">
        <w:rPr>
          <w:rFonts w:ascii="Segoe UI" w:eastAsia="Times New Roman" w:hAnsi="Segoe UI" w:cs="Segoe UI"/>
          <w:kern w:val="0"/>
          <w:sz w:val="21"/>
          <w:szCs w:val="21"/>
          <w:lang w:eastAsia="en-GB"/>
          <w14:ligatures w14:val="none"/>
        </w:rPr>
        <w:t xml:space="preserve"> Particularly weak areas included minority ethnic access to learning disability health checks, inclusion health assurance, rural outreach, local outcome measures, virtual wards and weekend discharge.</w:t>
      </w:r>
    </w:p>
    <w:p w14:paraId="69E22D02"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Key benefits</w:t>
      </w:r>
      <w:r w:rsidRPr="00CC750E">
        <w:rPr>
          <w:rFonts w:ascii="Segoe UI" w:eastAsia="Times New Roman" w:hAnsi="Segoe UI" w:cs="Segoe UI"/>
          <w:kern w:val="0"/>
          <w:sz w:val="21"/>
          <w:szCs w:val="21"/>
          <w:lang w:eastAsia="en-GB"/>
          <w14:ligatures w14:val="none"/>
        </w:rPr>
        <w:br/>
        <w:t>The report openly identifies areas where plans need strengthening and proposes a programme management approach for 2027/28.</w:t>
      </w:r>
    </w:p>
    <w:p w14:paraId="24E59752"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Questions to consider</w:t>
      </w:r>
      <w:r w:rsidRPr="00CC750E">
        <w:rPr>
          <w:rFonts w:ascii="Segoe UI" w:eastAsia="Times New Roman" w:hAnsi="Segoe UI" w:cs="Segoe UI"/>
          <w:kern w:val="0"/>
          <w:sz w:val="21"/>
          <w:szCs w:val="21"/>
          <w:lang w:eastAsia="en-GB"/>
          <w14:ligatures w14:val="none"/>
        </w:rPr>
        <w:br/>
        <w:t>Which measures are least likely to be achieved, what should be prioritised, and does the Trust have sufficient leadership and programme capacity to deliver the final two-year programme?</w:t>
      </w:r>
    </w:p>
    <w:p w14:paraId="16EAE65B" w14:textId="77777777" w:rsidR="00CC750E" w:rsidRPr="00CC750E" w:rsidRDefault="00CC750E" w:rsidP="00CC750E">
      <w:pPr>
        <w:spacing w:after="0"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kern w:val="0"/>
          <w:sz w:val="21"/>
          <w:szCs w:val="21"/>
          <w:lang w:eastAsia="en-GB"/>
          <w14:ligatures w14:val="none"/>
        </w:rPr>
        <w:pict w14:anchorId="78FEE398">
          <v:rect id="_x0000_i1086" style="width:0;height:1.5pt" o:hralign="center" o:hrstd="t" o:hr="t" fillcolor="#a0a0a0" stroked="f"/>
        </w:pict>
      </w:r>
    </w:p>
    <w:p w14:paraId="4C93E210" w14:textId="77777777" w:rsidR="00CC750E" w:rsidRPr="00CC750E" w:rsidRDefault="00CC750E" w:rsidP="00CC750E">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CC750E">
        <w:rPr>
          <w:rFonts w:ascii="Segoe UI" w:eastAsia="Times New Roman" w:hAnsi="Segoe UI" w:cs="Segoe UI"/>
          <w:b/>
          <w:bCs/>
          <w:kern w:val="0"/>
          <w:sz w:val="36"/>
          <w:szCs w:val="36"/>
          <w:lang w:eastAsia="en-GB"/>
          <w14:ligatures w14:val="none"/>
        </w:rPr>
        <w:lastRenderedPageBreak/>
        <w:t>Paper M: Integrated Quality Performance Report</w:t>
      </w:r>
    </w:p>
    <w:p w14:paraId="605451B5"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What is the paper about?</w:t>
      </w:r>
      <w:r w:rsidRPr="00CC750E">
        <w:rPr>
          <w:rFonts w:ascii="Segoe UI" w:eastAsia="Times New Roman" w:hAnsi="Segoe UI" w:cs="Segoe UI"/>
          <w:kern w:val="0"/>
          <w:sz w:val="21"/>
          <w:szCs w:val="21"/>
          <w:lang w:eastAsia="en-GB"/>
          <w14:ligatures w14:val="none"/>
        </w:rPr>
        <w:br/>
        <w:t>The revised report provides a broader view of quality, workforce, finance and strategic promise performance up to 31 August 2026.</w:t>
      </w:r>
    </w:p>
    <w:p w14:paraId="1DCF7B0D"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Key risks</w:t>
      </w:r>
      <w:r w:rsidRPr="00CC750E">
        <w:rPr>
          <w:rFonts w:ascii="Segoe UI" w:eastAsia="Times New Roman" w:hAnsi="Segoe UI" w:cs="Segoe UI"/>
          <w:kern w:val="0"/>
          <w:sz w:val="21"/>
          <w:szCs w:val="21"/>
          <w:lang w:eastAsia="en-GB"/>
          <w14:ligatures w14:val="none"/>
        </w:rPr>
        <w:br/>
        <w:t>Four-week wait compliance fell to 74.7%, urgent 48-hour response performance was 65.74%, sickness absence was 7.56% and physical health checks remained below target. Other concerns included out-of-date FACE risk assessments, inpatient assessments, pressure ulcers, Talking Therapies access and neurodiversity waits.</w:t>
      </w:r>
    </w:p>
    <w:p w14:paraId="3BB06396"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Key benefits</w:t>
      </w:r>
      <w:r w:rsidRPr="00CC750E">
        <w:rPr>
          <w:rFonts w:ascii="Segoe UI" w:eastAsia="Times New Roman" w:hAnsi="Segoe UI" w:cs="Segoe UI"/>
          <w:kern w:val="0"/>
          <w:sz w:val="21"/>
          <w:szCs w:val="21"/>
          <w:lang w:eastAsia="en-GB"/>
          <w14:ligatures w14:val="none"/>
        </w:rPr>
        <w:br/>
        <w:t xml:space="preserve">PDR compliance remained above </w:t>
      </w:r>
      <w:proofErr w:type="gramStart"/>
      <w:r w:rsidRPr="00CC750E">
        <w:rPr>
          <w:rFonts w:ascii="Segoe UI" w:eastAsia="Times New Roman" w:hAnsi="Segoe UI" w:cs="Segoe UI"/>
          <w:kern w:val="0"/>
          <w:sz w:val="21"/>
          <w:szCs w:val="21"/>
          <w:lang w:eastAsia="en-GB"/>
          <w14:ligatures w14:val="none"/>
        </w:rPr>
        <w:t>target,</w:t>
      </w:r>
      <w:proofErr w:type="gramEnd"/>
      <w:r w:rsidRPr="00CC750E">
        <w:rPr>
          <w:rFonts w:ascii="Segoe UI" w:eastAsia="Times New Roman" w:hAnsi="Segoe UI" w:cs="Segoe UI"/>
          <w:kern w:val="0"/>
          <w:sz w:val="21"/>
          <w:szCs w:val="21"/>
          <w:lang w:eastAsia="en-GB"/>
          <w14:ligatures w14:val="none"/>
        </w:rPr>
        <w:t xml:space="preserve"> finances were £89,000 better than plan and the Trust continued to forecast breakeven. Several recovery actions were in place through performance clinics and waiting list oversight.</w:t>
      </w:r>
    </w:p>
    <w:p w14:paraId="78E93E5E"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Questions to consider</w:t>
      </w:r>
      <w:r w:rsidRPr="00CC750E">
        <w:rPr>
          <w:rFonts w:ascii="Segoe UI" w:eastAsia="Times New Roman" w:hAnsi="Segoe UI" w:cs="Segoe UI"/>
          <w:kern w:val="0"/>
          <w:sz w:val="21"/>
          <w:szCs w:val="21"/>
          <w:lang w:eastAsia="en-GB"/>
          <w14:ligatures w14:val="none"/>
        </w:rPr>
        <w:br/>
        <w:t>What is driving deterioration in four-week waits, which measures require immediate escalation and how will data quality issues affecting reported long waits be resolved?</w:t>
      </w:r>
    </w:p>
    <w:p w14:paraId="270A83ED" w14:textId="77777777" w:rsidR="00CC750E" w:rsidRPr="00CC750E" w:rsidRDefault="00CC750E" w:rsidP="00CC750E">
      <w:pPr>
        <w:spacing w:after="0"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kern w:val="0"/>
          <w:sz w:val="21"/>
          <w:szCs w:val="21"/>
          <w:lang w:eastAsia="en-GB"/>
          <w14:ligatures w14:val="none"/>
        </w:rPr>
        <w:pict w14:anchorId="656E3368">
          <v:rect id="_x0000_i1087" style="width:0;height:1.5pt" o:hralign="center" o:hrstd="t" o:hr="t" fillcolor="#a0a0a0" stroked="f"/>
        </w:pict>
      </w:r>
    </w:p>
    <w:p w14:paraId="5973E49A" w14:textId="77777777" w:rsidR="00CC750E" w:rsidRPr="00CC750E" w:rsidRDefault="00CC750E" w:rsidP="00CC750E">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CC750E">
        <w:rPr>
          <w:rFonts w:ascii="Segoe UI" w:eastAsia="Times New Roman" w:hAnsi="Segoe UI" w:cs="Segoe UI"/>
          <w:b/>
          <w:bCs/>
          <w:kern w:val="0"/>
          <w:sz w:val="36"/>
          <w:szCs w:val="36"/>
          <w:lang w:eastAsia="en-GB"/>
          <w14:ligatures w14:val="none"/>
        </w:rPr>
        <w:t>Paper N: Organisational Change Key Performance Indicators</w:t>
      </w:r>
    </w:p>
    <w:p w14:paraId="4E15C90D"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What is the paper about?</w:t>
      </w:r>
      <w:r w:rsidRPr="00CC750E">
        <w:rPr>
          <w:rFonts w:ascii="Segoe UI" w:eastAsia="Times New Roman" w:hAnsi="Segoe UI" w:cs="Segoe UI"/>
          <w:kern w:val="0"/>
          <w:sz w:val="21"/>
          <w:szCs w:val="21"/>
          <w:lang w:eastAsia="en-GB"/>
          <w14:ligatures w14:val="none"/>
        </w:rPr>
        <w:br/>
        <w:t>The paper reviews quality and safety indicators following organisational change and vacancy-removal schemes implemented from April 2026. The overall position was considered broadly stable.</w:t>
      </w:r>
    </w:p>
    <w:p w14:paraId="34CEE126"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Key risks</w:t>
      </w:r>
      <w:r w:rsidRPr="00CC750E">
        <w:rPr>
          <w:rFonts w:ascii="Segoe UI" w:eastAsia="Times New Roman" w:hAnsi="Segoe UI" w:cs="Segoe UI"/>
          <w:kern w:val="0"/>
          <w:sz w:val="21"/>
          <w:szCs w:val="21"/>
          <w:lang w:eastAsia="en-GB"/>
          <w14:ligatures w14:val="none"/>
        </w:rPr>
        <w:br/>
        <w:t>Primary Care Mental Health waits over four weeks increased from 4 to 13, Memory Service waits doubled from 13 to 26 and NHS 111 average call duration increased from 46 to 73 minutes. Phlebotomy capacity and the reliability of the Rotherham Early Intervention in Psychosis KPI also required attention.</w:t>
      </w:r>
    </w:p>
    <w:p w14:paraId="7FA03815"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Key benefits</w:t>
      </w:r>
      <w:r w:rsidRPr="00CC750E">
        <w:rPr>
          <w:rFonts w:ascii="Segoe UI" w:eastAsia="Times New Roman" w:hAnsi="Segoe UI" w:cs="Segoe UI"/>
          <w:kern w:val="0"/>
          <w:sz w:val="21"/>
          <w:szCs w:val="21"/>
          <w:lang w:eastAsia="en-GB"/>
          <w14:ligatures w14:val="none"/>
        </w:rPr>
        <w:br/>
        <w:t>There was no Trust-wide evidence that organisational change had caused sustained patient harm, and several service indicators remained stable or improved.</w:t>
      </w:r>
    </w:p>
    <w:p w14:paraId="40947032"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Questions to consider</w:t>
      </w:r>
      <w:r w:rsidRPr="00CC750E">
        <w:rPr>
          <w:rFonts w:ascii="Segoe UI" w:eastAsia="Times New Roman" w:hAnsi="Segoe UI" w:cs="Segoe UI"/>
          <w:kern w:val="0"/>
          <w:sz w:val="21"/>
          <w:szCs w:val="21"/>
          <w:lang w:eastAsia="en-GB"/>
          <w14:ligatures w14:val="none"/>
        </w:rPr>
        <w:br/>
        <w:t>What recovery actions and timescales are in place for the worsening access measures, and when will the Rotherham EIP data be sufficiently reliable to support Board assurance?</w:t>
      </w:r>
    </w:p>
    <w:p w14:paraId="19A0FDAA" w14:textId="77777777" w:rsidR="00CC750E" w:rsidRPr="00CC750E" w:rsidRDefault="00CC750E" w:rsidP="00CC750E">
      <w:pPr>
        <w:spacing w:after="0"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kern w:val="0"/>
          <w:sz w:val="21"/>
          <w:szCs w:val="21"/>
          <w:lang w:eastAsia="en-GB"/>
          <w14:ligatures w14:val="none"/>
        </w:rPr>
        <w:lastRenderedPageBreak/>
        <w:pict w14:anchorId="4FB6F9EB">
          <v:rect id="_x0000_i1088" style="width:0;height:1.5pt" o:hralign="center" o:hrstd="t" o:hr="t" fillcolor="#a0a0a0" stroked="f"/>
        </w:pict>
      </w:r>
    </w:p>
    <w:p w14:paraId="503031E2" w14:textId="77777777" w:rsidR="00CC750E" w:rsidRPr="00CC750E" w:rsidRDefault="00CC750E" w:rsidP="00CC750E">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CC750E">
        <w:rPr>
          <w:rFonts w:ascii="Segoe UI" w:eastAsia="Times New Roman" w:hAnsi="Segoe UI" w:cs="Segoe UI"/>
          <w:b/>
          <w:bCs/>
          <w:kern w:val="0"/>
          <w:sz w:val="36"/>
          <w:szCs w:val="36"/>
          <w:lang w:eastAsia="en-GB"/>
          <w14:ligatures w14:val="none"/>
        </w:rPr>
        <w:t>Paper O: Chief Executive’s Report</w:t>
      </w:r>
    </w:p>
    <w:p w14:paraId="63F67DBF"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What is the paper about?</w:t>
      </w:r>
      <w:r w:rsidRPr="00CC750E">
        <w:rPr>
          <w:rFonts w:ascii="Segoe UI" w:eastAsia="Times New Roman" w:hAnsi="Segoe UI" w:cs="Segoe UI"/>
          <w:kern w:val="0"/>
          <w:sz w:val="21"/>
          <w:szCs w:val="21"/>
          <w:lang w:eastAsia="en-GB"/>
          <w14:ligatures w14:val="none"/>
        </w:rPr>
        <w:br/>
        <w:t>The report provides a broad update on patients, staff, culture, finance, contracts, CQC readiness, emergency preparedness, winter planning and national oversight. The Trust’s National Oversight Framework segmentation improved from 3 to 2.</w:t>
      </w:r>
    </w:p>
    <w:p w14:paraId="0242EFA4"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Key risks</w:t>
      </w:r>
      <w:r w:rsidRPr="00CC750E">
        <w:rPr>
          <w:rFonts w:ascii="Segoe UI" w:eastAsia="Times New Roman" w:hAnsi="Segoe UI" w:cs="Segoe UI"/>
          <w:kern w:val="0"/>
          <w:sz w:val="21"/>
          <w:szCs w:val="21"/>
          <w:lang w:eastAsia="en-GB"/>
          <w14:ligatures w14:val="none"/>
        </w:rPr>
        <w:br/>
      </w:r>
      <w:proofErr w:type="spellStart"/>
      <w:r w:rsidRPr="00CC750E">
        <w:rPr>
          <w:rFonts w:ascii="Segoe UI" w:eastAsia="Times New Roman" w:hAnsi="Segoe UI" w:cs="Segoe UI"/>
          <w:kern w:val="0"/>
          <w:sz w:val="21"/>
          <w:szCs w:val="21"/>
          <w:lang w:eastAsia="en-GB"/>
          <w14:ligatures w14:val="none"/>
        </w:rPr>
        <w:t>Risks</w:t>
      </w:r>
      <w:proofErr w:type="spellEnd"/>
      <w:r w:rsidRPr="00CC750E">
        <w:rPr>
          <w:rFonts w:ascii="Segoe UI" w:eastAsia="Times New Roman" w:hAnsi="Segoe UI" w:cs="Segoe UI"/>
          <w:kern w:val="0"/>
          <w:sz w:val="21"/>
          <w:szCs w:val="21"/>
          <w:lang w:eastAsia="en-GB"/>
          <w14:ligatures w14:val="none"/>
        </w:rPr>
        <w:t xml:space="preserve"> included unsigned ICB contracts, adult neurodiversity waits of more than four years, learning following a patient death, delayed care planning improvements, street discharge, out-of-area placements and financial under-accrual affecting the estates programme.</w:t>
      </w:r>
    </w:p>
    <w:p w14:paraId="5CF02597"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Key benefits</w:t>
      </w:r>
      <w:r w:rsidRPr="00CC750E">
        <w:rPr>
          <w:rFonts w:ascii="Segoe UI" w:eastAsia="Times New Roman" w:hAnsi="Segoe UI" w:cs="Segoe UI"/>
          <w:kern w:val="0"/>
          <w:sz w:val="21"/>
          <w:szCs w:val="21"/>
          <w:lang w:eastAsia="en-GB"/>
          <w14:ligatures w14:val="none"/>
        </w:rPr>
        <w:br/>
        <w:t xml:space="preserve">The Trust retained a positive financial oversight position, the Acorn Centre was due to open, </w:t>
      </w:r>
      <w:proofErr w:type="spellStart"/>
      <w:r w:rsidRPr="00CC750E">
        <w:rPr>
          <w:rFonts w:ascii="Segoe UI" w:eastAsia="Times New Roman" w:hAnsi="Segoe UI" w:cs="Segoe UI"/>
          <w:kern w:val="0"/>
          <w:sz w:val="21"/>
          <w:szCs w:val="21"/>
          <w:lang w:eastAsia="en-GB"/>
          <w14:ligatures w14:val="none"/>
        </w:rPr>
        <w:t>Systm</w:t>
      </w:r>
      <w:proofErr w:type="spellEnd"/>
      <w:r w:rsidRPr="00CC750E">
        <w:rPr>
          <w:rFonts w:ascii="Segoe UI" w:eastAsia="Times New Roman" w:hAnsi="Segoe UI" w:cs="Segoe UI"/>
          <w:kern w:val="0"/>
          <w:sz w:val="21"/>
          <w:szCs w:val="21"/>
          <w:lang w:eastAsia="en-GB"/>
          <w14:ligatures w14:val="none"/>
        </w:rPr>
        <w:t xml:space="preserve"> Connect was expanding, EPRR compliance reached 100% and new cultural commitments were being introduced.</w:t>
      </w:r>
    </w:p>
    <w:p w14:paraId="03DF08D9"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Questions to consider</w:t>
      </w:r>
      <w:r w:rsidRPr="00CC750E">
        <w:rPr>
          <w:rFonts w:ascii="Segoe UI" w:eastAsia="Times New Roman" w:hAnsi="Segoe UI" w:cs="Segoe UI"/>
          <w:kern w:val="0"/>
          <w:sz w:val="21"/>
          <w:szCs w:val="21"/>
          <w:lang w:eastAsia="en-GB"/>
          <w14:ligatures w14:val="none"/>
        </w:rPr>
        <w:br/>
        <w:t>How will the Trust ensure that learning from the patient death is implemented by the end of October, and what is the plan for managing adult autism waits where no commissioned solution currently exists?</w:t>
      </w:r>
    </w:p>
    <w:p w14:paraId="1E632209" w14:textId="77777777" w:rsidR="00CC750E" w:rsidRPr="00CC750E" w:rsidRDefault="00CC750E" w:rsidP="00CC750E">
      <w:pPr>
        <w:spacing w:after="0"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kern w:val="0"/>
          <w:sz w:val="21"/>
          <w:szCs w:val="21"/>
          <w:lang w:eastAsia="en-GB"/>
          <w14:ligatures w14:val="none"/>
        </w:rPr>
        <w:pict w14:anchorId="399E7DBE">
          <v:rect id="_x0000_i1089" style="width:0;height:1.5pt" o:hralign="center" o:hrstd="t" o:hr="t" fillcolor="#a0a0a0" stroked="f"/>
        </w:pict>
      </w:r>
    </w:p>
    <w:p w14:paraId="5C1D6565" w14:textId="77777777" w:rsidR="00CC750E" w:rsidRPr="00CC750E" w:rsidRDefault="00CC750E" w:rsidP="00CC750E">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CC750E">
        <w:rPr>
          <w:rFonts w:ascii="Segoe UI" w:eastAsia="Times New Roman" w:hAnsi="Segoe UI" w:cs="Segoe UI"/>
          <w:b/>
          <w:bCs/>
          <w:kern w:val="0"/>
          <w:sz w:val="36"/>
          <w:szCs w:val="36"/>
          <w:lang w:eastAsia="en-GB"/>
          <w14:ligatures w14:val="none"/>
        </w:rPr>
        <w:t>Paper P: Peer Support Framework, First Report</w:t>
      </w:r>
    </w:p>
    <w:p w14:paraId="6EC7C162"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What is the paper about?</w:t>
      </w:r>
      <w:r w:rsidRPr="00CC750E">
        <w:rPr>
          <w:rFonts w:ascii="Segoe UI" w:eastAsia="Times New Roman" w:hAnsi="Segoe UI" w:cs="Segoe UI"/>
          <w:kern w:val="0"/>
          <w:sz w:val="21"/>
          <w:szCs w:val="21"/>
          <w:lang w:eastAsia="en-GB"/>
          <w14:ligatures w14:val="none"/>
        </w:rPr>
        <w:br/>
        <w:t>The paper evaluates progress with peer support since November 2025. Peer roles have expanded across wards, Rotherham services, neurodiversity, carer support and physical health services.</w:t>
      </w:r>
    </w:p>
    <w:p w14:paraId="0052C9D0"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Key risks</w:t>
      </w:r>
      <w:r w:rsidRPr="00CC750E">
        <w:rPr>
          <w:rFonts w:ascii="Segoe UI" w:eastAsia="Times New Roman" w:hAnsi="Segoe UI" w:cs="Segoe UI"/>
          <w:kern w:val="0"/>
          <w:sz w:val="21"/>
          <w:szCs w:val="21"/>
          <w:lang w:eastAsia="en-GB"/>
          <w14:ligatures w14:val="none"/>
        </w:rPr>
        <w:br/>
        <w:t>Rapid growth could focus on the number of peer roles rather than their quality, impact and integration. Peer workers may not receive consistent support, recognition, identity or opportunities to influence services.</w:t>
      </w:r>
    </w:p>
    <w:p w14:paraId="0314D1C3"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Key benefits</w:t>
      </w:r>
      <w:r w:rsidRPr="00CC750E">
        <w:rPr>
          <w:rFonts w:ascii="Segoe UI" w:eastAsia="Times New Roman" w:hAnsi="Segoe UI" w:cs="Segoe UI"/>
          <w:kern w:val="0"/>
          <w:sz w:val="21"/>
          <w:szCs w:val="21"/>
          <w:lang w:eastAsia="en-GB"/>
          <w14:ligatures w14:val="none"/>
        </w:rPr>
        <w:br/>
        <w:t>Peer support brings lived experience into care, offers practical and emotional support, improves engagement and provides new employment and development opportunities.</w:t>
      </w:r>
    </w:p>
    <w:p w14:paraId="50BFC4DC"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Questions to consider</w:t>
      </w:r>
      <w:r w:rsidRPr="00CC750E">
        <w:rPr>
          <w:rFonts w:ascii="Segoe UI" w:eastAsia="Times New Roman" w:hAnsi="Segoe UI" w:cs="Segoe UI"/>
          <w:kern w:val="0"/>
          <w:sz w:val="21"/>
          <w:szCs w:val="21"/>
          <w:lang w:eastAsia="en-GB"/>
          <w14:ligatures w14:val="none"/>
        </w:rPr>
        <w:br/>
        <w:t>Who will own delivery of the eleven recommendations, and how will the Trust measure the quality and outcomes of peer support rather than simply counting posts?</w:t>
      </w:r>
    </w:p>
    <w:p w14:paraId="67F01BC7" w14:textId="77777777" w:rsidR="00CC750E" w:rsidRPr="00CC750E" w:rsidRDefault="00CC750E" w:rsidP="00CC750E">
      <w:pPr>
        <w:spacing w:after="0"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kern w:val="0"/>
          <w:sz w:val="21"/>
          <w:szCs w:val="21"/>
          <w:lang w:eastAsia="en-GB"/>
          <w14:ligatures w14:val="none"/>
        </w:rPr>
        <w:pict w14:anchorId="104AC5E8">
          <v:rect id="_x0000_i1090" style="width:0;height:1.5pt" o:hralign="center" o:hrstd="t" o:hr="t" fillcolor="#a0a0a0" stroked="f"/>
        </w:pict>
      </w:r>
    </w:p>
    <w:p w14:paraId="0166827B" w14:textId="77777777" w:rsidR="00CC750E" w:rsidRPr="00CC750E" w:rsidRDefault="00CC750E" w:rsidP="00CC750E">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CC750E">
        <w:rPr>
          <w:rFonts w:ascii="Segoe UI" w:eastAsia="Times New Roman" w:hAnsi="Segoe UI" w:cs="Segoe UI"/>
          <w:b/>
          <w:bCs/>
          <w:kern w:val="0"/>
          <w:sz w:val="36"/>
          <w:szCs w:val="36"/>
          <w:lang w:eastAsia="en-GB"/>
          <w14:ligatures w14:val="none"/>
        </w:rPr>
        <w:lastRenderedPageBreak/>
        <w:t>Paper Q: CQC Readiness and Safe Caring Review</w:t>
      </w:r>
    </w:p>
    <w:p w14:paraId="54A84C59"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What is the paper about?</w:t>
      </w:r>
      <w:r w:rsidRPr="00CC750E">
        <w:rPr>
          <w:rFonts w:ascii="Segoe UI" w:eastAsia="Times New Roman" w:hAnsi="Segoe UI" w:cs="Segoe UI"/>
          <w:kern w:val="0"/>
          <w:sz w:val="21"/>
          <w:szCs w:val="21"/>
          <w:lang w:eastAsia="en-GB"/>
          <w14:ligatures w14:val="none"/>
        </w:rPr>
        <w:br/>
        <w:t>The paper assesses the Trust’s readiness for future CQC inspection and considers how well services meet safe, effective, caring, responsive and well-led expectations.</w:t>
      </w:r>
    </w:p>
    <w:p w14:paraId="5785DDDB"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Key risks</w:t>
      </w:r>
      <w:r w:rsidRPr="00CC750E">
        <w:rPr>
          <w:rFonts w:ascii="Segoe UI" w:eastAsia="Times New Roman" w:hAnsi="Segoe UI" w:cs="Segoe UI"/>
          <w:kern w:val="0"/>
          <w:sz w:val="21"/>
          <w:szCs w:val="21"/>
          <w:lang w:eastAsia="en-GB"/>
          <w14:ligatures w14:val="none"/>
        </w:rPr>
        <w:br/>
        <w:t>Readiness evidence may not consistently reflect frontline practice. Known issues include care planning, documentation, waiting times, Mental Health Act compliance, estates actions, Danescourt improvements and variation between services.</w:t>
      </w:r>
    </w:p>
    <w:p w14:paraId="459CF299"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Key benefits</w:t>
      </w:r>
      <w:r w:rsidRPr="00CC750E">
        <w:rPr>
          <w:rFonts w:ascii="Segoe UI" w:eastAsia="Times New Roman" w:hAnsi="Segoe UI" w:cs="Segoe UI"/>
          <w:kern w:val="0"/>
          <w:sz w:val="21"/>
          <w:szCs w:val="21"/>
          <w:lang w:eastAsia="en-GB"/>
          <w14:ligatures w14:val="none"/>
        </w:rPr>
        <w:br/>
        <w:t>The review helps the Trust identify evidence gaps, improve inspection readiness and focus action on areas requiring stronger assurance.</w:t>
      </w:r>
    </w:p>
    <w:p w14:paraId="3113C1D5"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Questions to consider</w:t>
      </w:r>
      <w:r w:rsidRPr="00CC750E">
        <w:rPr>
          <w:rFonts w:ascii="Segoe UI" w:eastAsia="Times New Roman" w:hAnsi="Segoe UI" w:cs="Segoe UI"/>
          <w:kern w:val="0"/>
          <w:sz w:val="21"/>
          <w:szCs w:val="21"/>
          <w:lang w:eastAsia="en-GB"/>
          <w14:ligatures w14:val="none"/>
        </w:rPr>
        <w:br/>
        <w:t>Where are the most significant gaps between self-assessment and external findings, and how is the Trust testing that improvement is embedded in practice rather than only reflected in documents?</w:t>
      </w:r>
    </w:p>
    <w:p w14:paraId="5DFFD195" w14:textId="77777777" w:rsidR="00CC750E" w:rsidRPr="00CC750E" w:rsidRDefault="00CC750E" w:rsidP="00CC750E">
      <w:pPr>
        <w:spacing w:after="0"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kern w:val="0"/>
          <w:sz w:val="21"/>
          <w:szCs w:val="21"/>
          <w:lang w:eastAsia="en-GB"/>
          <w14:ligatures w14:val="none"/>
        </w:rPr>
        <w:pict w14:anchorId="1F970DA1">
          <v:rect id="_x0000_i1091" style="width:0;height:1.5pt" o:hralign="center" o:hrstd="t" o:hr="t" fillcolor="#a0a0a0" stroked="f"/>
        </w:pict>
      </w:r>
    </w:p>
    <w:p w14:paraId="3A182CBA" w14:textId="77777777" w:rsidR="00CC750E" w:rsidRPr="00CC750E" w:rsidRDefault="00CC750E" w:rsidP="00CC750E">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CC750E">
        <w:rPr>
          <w:rFonts w:ascii="Segoe UI" w:eastAsia="Times New Roman" w:hAnsi="Segoe UI" w:cs="Segoe UI"/>
          <w:b/>
          <w:bCs/>
          <w:kern w:val="0"/>
          <w:sz w:val="36"/>
          <w:szCs w:val="36"/>
          <w:lang w:eastAsia="en-GB"/>
          <w14:ligatures w14:val="none"/>
        </w:rPr>
        <w:t>Paper R: Response to Issues Raised by Young Advisors</w:t>
      </w:r>
    </w:p>
    <w:p w14:paraId="4C78AF1D"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What is the paper about?</w:t>
      </w:r>
      <w:r w:rsidRPr="00CC750E">
        <w:rPr>
          <w:rFonts w:ascii="Segoe UI" w:eastAsia="Times New Roman" w:hAnsi="Segoe UI" w:cs="Segoe UI"/>
          <w:kern w:val="0"/>
          <w:sz w:val="21"/>
          <w:szCs w:val="21"/>
          <w:lang w:eastAsia="en-GB"/>
          <w14:ligatures w14:val="none"/>
        </w:rPr>
        <w:br/>
        <w:t>The paper responds to matters highlighted by Young Advisors during the Annual Members’ Meeting and sets out the Trust’s improvement response.</w:t>
      </w:r>
    </w:p>
    <w:p w14:paraId="4CE2D9AE"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Key risks</w:t>
      </w:r>
      <w:r w:rsidRPr="00CC750E">
        <w:rPr>
          <w:rFonts w:ascii="Segoe UI" w:eastAsia="Times New Roman" w:hAnsi="Segoe UI" w:cs="Segoe UI"/>
          <w:kern w:val="0"/>
          <w:sz w:val="21"/>
          <w:szCs w:val="21"/>
          <w:lang w:eastAsia="en-GB"/>
          <w14:ligatures w14:val="none"/>
        </w:rPr>
        <w:br/>
        <w:t>Young people may feel that consultation does not lead to visible change. Services may also fail to communicate in accessible ways or consistently involve young people in decisions.</w:t>
      </w:r>
    </w:p>
    <w:p w14:paraId="35C5C280"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Key benefits</w:t>
      </w:r>
      <w:r w:rsidRPr="00CC750E">
        <w:rPr>
          <w:rFonts w:ascii="Segoe UI" w:eastAsia="Times New Roman" w:hAnsi="Segoe UI" w:cs="Segoe UI"/>
          <w:kern w:val="0"/>
          <w:sz w:val="21"/>
          <w:szCs w:val="21"/>
          <w:lang w:eastAsia="en-GB"/>
          <w14:ligatures w14:val="none"/>
        </w:rPr>
        <w:br/>
        <w:t>The response strengthens youth participation, accountability and coproduction and demonstrates that the Trust has listened to feedback.</w:t>
      </w:r>
    </w:p>
    <w:p w14:paraId="7EC37D9D"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Questions to consider</w:t>
      </w:r>
      <w:r w:rsidRPr="00CC750E">
        <w:rPr>
          <w:rFonts w:ascii="Segoe UI" w:eastAsia="Times New Roman" w:hAnsi="Segoe UI" w:cs="Segoe UI"/>
          <w:kern w:val="0"/>
          <w:sz w:val="21"/>
          <w:szCs w:val="21"/>
          <w:lang w:eastAsia="en-GB"/>
          <w14:ligatures w14:val="none"/>
        </w:rPr>
        <w:br/>
        <w:t>How were the Young Advisors involved in agreeing the response, and how will they be updated on delivery and outcomes?</w:t>
      </w:r>
    </w:p>
    <w:p w14:paraId="2CB6FD6D" w14:textId="77777777" w:rsidR="00CC750E" w:rsidRPr="00CC750E" w:rsidRDefault="00CC750E" w:rsidP="00CC750E">
      <w:pPr>
        <w:spacing w:after="0"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kern w:val="0"/>
          <w:sz w:val="21"/>
          <w:szCs w:val="21"/>
          <w:lang w:eastAsia="en-GB"/>
          <w14:ligatures w14:val="none"/>
        </w:rPr>
        <w:pict w14:anchorId="00F2A3BF">
          <v:rect id="_x0000_i1092" style="width:0;height:1.5pt" o:hralign="center" o:hrstd="t" o:hr="t" fillcolor="#a0a0a0" stroked="f"/>
        </w:pict>
      </w:r>
    </w:p>
    <w:p w14:paraId="03250F26" w14:textId="77777777" w:rsidR="00CC750E" w:rsidRPr="00CC750E" w:rsidRDefault="00CC750E" w:rsidP="00CC750E">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CC750E">
        <w:rPr>
          <w:rFonts w:ascii="Segoe UI" w:eastAsia="Times New Roman" w:hAnsi="Segoe UI" w:cs="Segoe UI"/>
          <w:b/>
          <w:bCs/>
          <w:kern w:val="0"/>
          <w:sz w:val="36"/>
          <w:szCs w:val="36"/>
          <w:lang w:eastAsia="en-GB"/>
          <w14:ligatures w14:val="none"/>
        </w:rPr>
        <w:lastRenderedPageBreak/>
        <w:t>Paper S: Promise 16, Outcomes of Service Delivery and 14-Week Waits</w:t>
      </w:r>
    </w:p>
    <w:p w14:paraId="3FC2E265"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What is the paper about?</w:t>
      </w:r>
      <w:r w:rsidRPr="00CC750E">
        <w:rPr>
          <w:rFonts w:ascii="Segoe UI" w:eastAsia="Times New Roman" w:hAnsi="Segoe UI" w:cs="Segoe UI"/>
          <w:kern w:val="0"/>
          <w:sz w:val="21"/>
          <w:szCs w:val="21"/>
          <w:lang w:eastAsia="en-GB"/>
          <w14:ligatures w14:val="none"/>
        </w:rPr>
        <w:br/>
        <w:t>The paper considers service outcomes and secondary waits, particularly people who have received an initial assessment but continue to wait for treatment or specialist intervention.</w:t>
      </w:r>
    </w:p>
    <w:p w14:paraId="3274225F"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Key risks</w:t>
      </w:r>
      <w:r w:rsidRPr="00CC750E">
        <w:rPr>
          <w:rFonts w:ascii="Segoe UI" w:eastAsia="Times New Roman" w:hAnsi="Segoe UI" w:cs="Segoe UI"/>
          <w:kern w:val="0"/>
          <w:sz w:val="21"/>
          <w:szCs w:val="21"/>
          <w:lang w:eastAsia="en-GB"/>
          <w14:ligatures w14:val="none"/>
        </w:rPr>
        <w:br/>
        <w:t>Long secondary waits may cause deterioration, poorer outcomes and dissatisfaction even where the initial four-week standard is met. Inconsistent outcome measures can make it difficult to judge whether services are effective.</w:t>
      </w:r>
    </w:p>
    <w:p w14:paraId="2C5773A6"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Key benefits</w:t>
      </w:r>
      <w:r w:rsidRPr="00CC750E">
        <w:rPr>
          <w:rFonts w:ascii="Segoe UI" w:eastAsia="Times New Roman" w:hAnsi="Segoe UI" w:cs="Segoe UI"/>
          <w:kern w:val="0"/>
          <w:sz w:val="21"/>
          <w:szCs w:val="21"/>
          <w:lang w:eastAsia="en-GB"/>
          <w14:ligatures w14:val="none"/>
        </w:rPr>
        <w:br/>
        <w:t>A clearer focus on 14-week waits and outcome measurement could provide a fuller view of the patient pathway and identify services requiring productivity or pathway improvement.</w:t>
      </w:r>
    </w:p>
    <w:p w14:paraId="31FC78AE"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Questions to consider</w:t>
      </w:r>
      <w:r w:rsidRPr="00CC750E">
        <w:rPr>
          <w:rFonts w:ascii="Segoe UI" w:eastAsia="Times New Roman" w:hAnsi="Segoe UI" w:cs="Segoe UI"/>
          <w:kern w:val="0"/>
          <w:sz w:val="21"/>
          <w:szCs w:val="21"/>
          <w:lang w:eastAsia="en-GB"/>
          <w14:ligatures w14:val="none"/>
        </w:rPr>
        <w:br/>
        <w:t>Which services have the longest secondary waits, what trajectories are in place and how will the Trust ensure improvements do not reduce quality or increase staff pressure?</w:t>
      </w:r>
    </w:p>
    <w:p w14:paraId="3DAE68BA" w14:textId="77777777" w:rsidR="00CC750E" w:rsidRPr="00CC750E" w:rsidRDefault="00CC750E" w:rsidP="00CC750E">
      <w:pPr>
        <w:spacing w:after="0"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kern w:val="0"/>
          <w:sz w:val="21"/>
          <w:szCs w:val="21"/>
          <w:lang w:eastAsia="en-GB"/>
          <w14:ligatures w14:val="none"/>
        </w:rPr>
        <w:pict w14:anchorId="77808A16">
          <v:rect id="_x0000_i1093" style="width:0;height:1.5pt" o:hralign="center" o:hrstd="t" o:hr="t" fillcolor="#a0a0a0" stroked="f"/>
        </w:pict>
      </w:r>
    </w:p>
    <w:p w14:paraId="66F48647" w14:textId="77777777" w:rsidR="00CC750E" w:rsidRPr="00CC750E" w:rsidRDefault="00CC750E" w:rsidP="00CC750E">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CC750E">
        <w:rPr>
          <w:rFonts w:ascii="Segoe UI" w:eastAsia="Times New Roman" w:hAnsi="Segoe UI" w:cs="Segoe UI"/>
          <w:b/>
          <w:bCs/>
          <w:kern w:val="0"/>
          <w:sz w:val="36"/>
          <w:szCs w:val="36"/>
          <w:lang w:eastAsia="en-GB"/>
          <w14:ligatures w14:val="none"/>
        </w:rPr>
        <w:t>Paper T: Provider Capability Assessment Framework</w:t>
      </w:r>
    </w:p>
    <w:p w14:paraId="4DD04269"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What is the paper about?</w:t>
      </w:r>
      <w:r w:rsidRPr="00CC750E">
        <w:rPr>
          <w:rFonts w:ascii="Segoe UI" w:eastAsia="Times New Roman" w:hAnsi="Segoe UI" w:cs="Segoe UI"/>
          <w:kern w:val="0"/>
          <w:sz w:val="21"/>
          <w:szCs w:val="21"/>
          <w:lang w:eastAsia="en-GB"/>
          <w14:ligatures w14:val="none"/>
        </w:rPr>
        <w:br/>
        <w:t>The paper considers the Trust’s capability to deliver its present and future commitments and assesses areas such as leadership, governance, quality, workforce, finance, partnerships and transformation.</w:t>
      </w:r>
    </w:p>
    <w:p w14:paraId="49909035"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Key risks</w:t>
      </w:r>
      <w:r w:rsidRPr="00CC750E">
        <w:rPr>
          <w:rFonts w:ascii="Segoe UI" w:eastAsia="Times New Roman" w:hAnsi="Segoe UI" w:cs="Segoe UI"/>
          <w:kern w:val="0"/>
          <w:sz w:val="21"/>
          <w:szCs w:val="21"/>
          <w:lang w:eastAsia="en-GB"/>
          <w14:ligatures w14:val="none"/>
        </w:rPr>
        <w:br/>
        <w:t>Capability assessments can provide false assurance if they rely mainly on self-assessment. Gaps in leadership capacity, delivery discipline, workforce, data use or formal assurance could affect the Trust’s ability to deliver simultaneous change.</w:t>
      </w:r>
    </w:p>
    <w:p w14:paraId="49F927D5"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Key benefits</w:t>
      </w:r>
      <w:r w:rsidRPr="00CC750E">
        <w:rPr>
          <w:rFonts w:ascii="Segoe UI" w:eastAsia="Times New Roman" w:hAnsi="Segoe UI" w:cs="Segoe UI"/>
          <w:kern w:val="0"/>
          <w:sz w:val="21"/>
          <w:szCs w:val="21"/>
          <w:lang w:eastAsia="en-GB"/>
          <w14:ligatures w14:val="none"/>
        </w:rPr>
        <w:br/>
        <w:t>The framework provides a structured way to identify strengths and development needs and can help focus resources and oversight on the areas presenting the greatest delivery risk.</w:t>
      </w:r>
    </w:p>
    <w:p w14:paraId="7679E367"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Questions to consider</w:t>
      </w:r>
      <w:r w:rsidRPr="00CC750E">
        <w:rPr>
          <w:rFonts w:ascii="Segoe UI" w:eastAsia="Times New Roman" w:hAnsi="Segoe UI" w:cs="Segoe UI"/>
          <w:kern w:val="0"/>
          <w:sz w:val="21"/>
          <w:szCs w:val="21"/>
          <w:lang w:eastAsia="en-GB"/>
          <w14:ligatures w14:val="none"/>
        </w:rPr>
        <w:br/>
        <w:t>What independent evidence supports the assessment, which capability areas are weakest and how will improvement actions be monitored by the Board?</w:t>
      </w:r>
    </w:p>
    <w:p w14:paraId="3D15DC21" w14:textId="77777777" w:rsidR="00CC750E" w:rsidRPr="00CC750E" w:rsidRDefault="00CC750E" w:rsidP="00CC750E">
      <w:pPr>
        <w:spacing w:after="0"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kern w:val="0"/>
          <w:sz w:val="21"/>
          <w:szCs w:val="21"/>
          <w:lang w:eastAsia="en-GB"/>
          <w14:ligatures w14:val="none"/>
        </w:rPr>
        <w:pict w14:anchorId="193E5493">
          <v:rect id="_x0000_i1094" style="width:0;height:1.5pt" o:hralign="center" o:hrstd="t" o:hr="t" fillcolor="#a0a0a0" stroked="f"/>
        </w:pict>
      </w:r>
    </w:p>
    <w:p w14:paraId="0AAAC59E" w14:textId="77777777" w:rsidR="00CC750E" w:rsidRPr="00CC750E" w:rsidRDefault="00CC750E" w:rsidP="00CC750E">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CC750E">
        <w:rPr>
          <w:rFonts w:ascii="Segoe UI" w:eastAsia="Times New Roman" w:hAnsi="Segoe UI" w:cs="Segoe UI"/>
          <w:b/>
          <w:bCs/>
          <w:kern w:val="0"/>
          <w:sz w:val="36"/>
          <w:szCs w:val="36"/>
          <w:lang w:eastAsia="en-GB"/>
          <w14:ligatures w14:val="none"/>
        </w:rPr>
        <w:lastRenderedPageBreak/>
        <w:t>Paper U: Culture at RDaSH</w:t>
      </w:r>
    </w:p>
    <w:p w14:paraId="546BF9E4"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What is the paper about?</w:t>
      </w:r>
      <w:r w:rsidRPr="00CC750E">
        <w:rPr>
          <w:rFonts w:ascii="Segoe UI" w:eastAsia="Times New Roman" w:hAnsi="Segoe UI" w:cs="Segoe UI"/>
          <w:kern w:val="0"/>
          <w:sz w:val="21"/>
          <w:szCs w:val="21"/>
          <w:lang w:eastAsia="en-GB"/>
          <w14:ligatures w14:val="none"/>
        </w:rPr>
        <w:br/>
        <w:t>The paper updates the Board on the Trust’s cultural development programme, including Our RDaSH Way, high support and high accountability, speaking up, inclusion and antiracism.</w:t>
      </w:r>
    </w:p>
    <w:p w14:paraId="4D5E8235"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Key risks</w:t>
      </w:r>
      <w:r w:rsidRPr="00CC750E">
        <w:rPr>
          <w:rFonts w:ascii="Segoe UI" w:eastAsia="Times New Roman" w:hAnsi="Segoe UI" w:cs="Segoe UI"/>
          <w:kern w:val="0"/>
          <w:sz w:val="21"/>
          <w:szCs w:val="21"/>
          <w:lang w:eastAsia="en-GB"/>
          <w14:ligatures w14:val="none"/>
        </w:rPr>
        <w:br/>
        <w:t>Cultural expectations may not be consistently understood or experienced by staff. There are risks relating to psychological safety, leadership behaviour, speaking up, discrimination and the balance between support and accountability.</w:t>
      </w:r>
    </w:p>
    <w:p w14:paraId="3DB6180D"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Key benefits</w:t>
      </w:r>
      <w:r w:rsidRPr="00CC750E">
        <w:rPr>
          <w:rFonts w:ascii="Segoe UI" w:eastAsia="Times New Roman" w:hAnsi="Segoe UI" w:cs="Segoe UI"/>
          <w:kern w:val="0"/>
          <w:sz w:val="21"/>
          <w:szCs w:val="21"/>
          <w:lang w:eastAsia="en-GB"/>
          <w14:ligatures w14:val="none"/>
        </w:rPr>
        <w:br/>
        <w:t>A clear and consistently applied cultural approach could strengthen staff experience, leadership, accountability, inclusion and patient safety.</w:t>
      </w:r>
    </w:p>
    <w:p w14:paraId="0DC57AAD"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Questions to consider</w:t>
      </w:r>
      <w:r w:rsidRPr="00CC750E">
        <w:rPr>
          <w:rFonts w:ascii="Segoe UI" w:eastAsia="Times New Roman" w:hAnsi="Segoe UI" w:cs="Segoe UI"/>
          <w:kern w:val="0"/>
          <w:sz w:val="21"/>
          <w:szCs w:val="21"/>
          <w:lang w:eastAsia="en-GB"/>
          <w14:ligatures w14:val="none"/>
        </w:rPr>
        <w:br/>
        <w:t>How will the Trust measure whether staff experience the intended culture, and what action will be taken where leadership behaviour does not align with the agreed expectations?</w:t>
      </w:r>
    </w:p>
    <w:p w14:paraId="6BFFEB0E" w14:textId="77777777" w:rsidR="00CC750E" w:rsidRPr="00CC750E" w:rsidRDefault="00CC750E" w:rsidP="00CC750E">
      <w:pPr>
        <w:spacing w:after="0"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kern w:val="0"/>
          <w:sz w:val="21"/>
          <w:szCs w:val="21"/>
          <w:lang w:eastAsia="en-GB"/>
          <w14:ligatures w14:val="none"/>
        </w:rPr>
        <w:pict w14:anchorId="073F3DAF">
          <v:rect id="_x0000_i1095" style="width:0;height:1.5pt" o:hralign="center" o:hrstd="t" o:hr="t" fillcolor="#a0a0a0" stroked="f"/>
        </w:pict>
      </w:r>
    </w:p>
    <w:p w14:paraId="53E9585E" w14:textId="77777777" w:rsidR="00CC750E" w:rsidRPr="00CC750E" w:rsidRDefault="00CC750E" w:rsidP="00CC750E">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CC750E">
        <w:rPr>
          <w:rFonts w:ascii="Segoe UI" w:eastAsia="Times New Roman" w:hAnsi="Segoe UI" w:cs="Segoe UI"/>
          <w:b/>
          <w:bCs/>
          <w:kern w:val="0"/>
          <w:sz w:val="36"/>
          <w:szCs w:val="36"/>
          <w:lang w:eastAsia="en-GB"/>
          <w14:ligatures w14:val="none"/>
        </w:rPr>
        <w:t>Paper V: Autism Assessment Services</w:t>
      </w:r>
    </w:p>
    <w:p w14:paraId="39EFF7B9"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What is the paper about?</w:t>
      </w:r>
      <w:r w:rsidRPr="00CC750E">
        <w:rPr>
          <w:rFonts w:ascii="Segoe UI" w:eastAsia="Times New Roman" w:hAnsi="Segoe UI" w:cs="Segoe UI"/>
          <w:kern w:val="0"/>
          <w:sz w:val="21"/>
          <w:szCs w:val="21"/>
          <w:lang w:eastAsia="en-GB"/>
          <w14:ligatures w14:val="none"/>
        </w:rPr>
        <w:br/>
        <w:t>The paper reviews autism assessment services and the continuing challenge of long waiting times for children, young people and adults.</w:t>
      </w:r>
    </w:p>
    <w:p w14:paraId="45FF4B6C"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Key risks</w:t>
      </w:r>
      <w:r w:rsidRPr="00CC750E">
        <w:rPr>
          <w:rFonts w:ascii="Segoe UI" w:eastAsia="Times New Roman" w:hAnsi="Segoe UI" w:cs="Segoe UI"/>
          <w:kern w:val="0"/>
          <w:sz w:val="21"/>
          <w:szCs w:val="21"/>
          <w:lang w:eastAsia="en-GB"/>
          <w14:ligatures w14:val="none"/>
        </w:rPr>
        <w:br/>
        <w:t>Demand exceeds available capacity, creating very long waits, delayed diagnosis, poorer outcomes and pressure on patients, families and staff. Adult waits exceed four years and do not currently have a commissioned funding solution.</w:t>
      </w:r>
    </w:p>
    <w:p w14:paraId="6DFD588E"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Key benefits</w:t>
      </w:r>
      <w:r w:rsidRPr="00CC750E">
        <w:rPr>
          <w:rFonts w:ascii="Segoe UI" w:eastAsia="Times New Roman" w:hAnsi="Segoe UI" w:cs="Segoe UI"/>
          <w:kern w:val="0"/>
          <w:sz w:val="21"/>
          <w:szCs w:val="21"/>
          <w:lang w:eastAsia="en-GB"/>
          <w14:ligatures w14:val="none"/>
        </w:rPr>
        <w:br/>
        <w:t>The paper gives the Board clearer oversight of current waits, improvement trajectories and the changes required across assessment and post-diagnostic pathways.</w:t>
      </w:r>
    </w:p>
    <w:p w14:paraId="2B3B3620"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Questions to consider</w:t>
      </w:r>
      <w:r w:rsidRPr="00CC750E">
        <w:rPr>
          <w:rFonts w:ascii="Segoe UI" w:eastAsia="Times New Roman" w:hAnsi="Segoe UI" w:cs="Segoe UI"/>
          <w:kern w:val="0"/>
          <w:sz w:val="21"/>
          <w:szCs w:val="21"/>
          <w:lang w:eastAsia="en-GB"/>
          <w14:ligatures w14:val="none"/>
        </w:rPr>
        <w:br/>
        <w:t>What can the Trust deliver within its direct control, what additional commissioner funding is required and when will waits reduce below one year and then six months?</w:t>
      </w:r>
    </w:p>
    <w:p w14:paraId="19982AE4" w14:textId="77777777" w:rsidR="00CC750E" w:rsidRPr="00CC750E" w:rsidRDefault="00CC750E" w:rsidP="00CC750E">
      <w:pPr>
        <w:spacing w:after="0"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kern w:val="0"/>
          <w:sz w:val="21"/>
          <w:szCs w:val="21"/>
          <w:lang w:eastAsia="en-GB"/>
          <w14:ligatures w14:val="none"/>
        </w:rPr>
        <w:pict w14:anchorId="202E117B">
          <v:rect id="_x0000_i1096" style="width:0;height:1.5pt" o:hralign="center" o:hrstd="t" o:hr="t" fillcolor="#a0a0a0" stroked="f"/>
        </w:pict>
      </w:r>
    </w:p>
    <w:p w14:paraId="7DB22851" w14:textId="77777777" w:rsidR="00CC750E" w:rsidRPr="00CC750E" w:rsidRDefault="00CC750E" w:rsidP="00CC750E">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CC750E">
        <w:rPr>
          <w:rFonts w:ascii="Segoe UI" w:eastAsia="Times New Roman" w:hAnsi="Segoe UI" w:cs="Segoe UI"/>
          <w:b/>
          <w:bCs/>
          <w:kern w:val="0"/>
          <w:sz w:val="36"/>
          <w:szCs w:val="36"/>
          <w:lang w:eastAsia="en-GB"/>
          <w14:ligatures w14:val="none"/>
        </w:rPr>
        <w:t xml:space="preserve">Paper W: </w:t>
      </w:r>
      <w:proofErr w:type="spellStart"/>
      <w:r w:rsidRPr="00CC750E">
        <w:rPr>
          <w:rFonts w:ascii="Segoe UI" w:eastAsia="Times New Roman" w:hAnsi="Segoe UI" w:cs="Segoe UI"/>
          <w:b/>
          <w:bCs/>
          <w:kern w:val="0"/>
          <w:sz w:val="36"/>
          <w:szCs w:val="36"/>
          <w:lang w:eastAsia="en-GB"/>
          <w14:ligatures w14:val="none"/>
        </w:rPr>
        <w:t>Deliverology</w:t>
      </w:r>
      <w:proofErr w:type="spellEnd"/>
      <w:r w:rsidRPr="00CC750E">
        <w:rPr>
          <w:rFonts w:ascii="Segoe UI" w:eastAsia="Times New Roman" w:hAnsi="Segoe UI" w:cs="Segoe UI"/>
          <w:b/>
          <w:bCs/>
          <w:kern w:val="0"/>
          <w:sz w:val="36"/>
          <w:szCs w:val="36"/>
          <w:lang w:eastAsia="en-GB"/>
          <w14:ligatures w14:val="none"/>
        </w:rPr>
        <w:t xml:space="preserve"> Implementation</w:t>
      </w:r>
    </w:p>
    <w:p w14:paraId="36C1B42C"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lastRenderedPageBreak/>
        <w:t>What is the paper about?</w:t>
      </w:r>
      <w:r w:rsidRPr="00CC750E">
        <w:rPr>
          <w:rFonts w:ascii="Segoe UI" w:eastAsia="Times New Roman" w:hAnsi="Segoe UI" w:cs="Segoe UI"/>
          <w:kern w:val="0"/>
          <w:sz w:val="21"/>
          <w:szCs w:val="21"/>
          <w:lang w:eastAsia="en-GB"/>
          <w14:ligatures w14:val="none"/>
        </w:rPr>
        <w:br/>
        <w:t>The paper updates the Board on the use of a structured delivery approach to monitor priorities, assess progress, identify barriers and strengthen accountability for delivery.</w:t>
      </w:r>
    </w:p>
    <w:p w14:paraId="4029C27E"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Key risks</w:t>
      </w:r>
      <w:r w:rsidRPr="00CC750E">
        <w:rPr>
          <w:rFonts w:ascii="Segoe UI" w:eastAsia="Times New Roman" w:hAnsi="Segoe UI" w:cs="Segoe UI"/>
          <w:kern w:val="0"/>
          <w:sz w:val="21"/>
          <w:szCs w:val="21"/>
          <w:lang w:eastAsia="en-GB"/>
          <w14:ligatures w14:val="none"/>
        </w:rPr>
        <w:br/>
        <w:t>The process could become overly focused on ratings and reporting rather than genuine improvement. There is also a risk of duplication with existing governance or unclear ownership of corrective action.</w:t>
      </w:r>
    </w:p>
    <w:p w14:paraId="1D1732B1"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Key benefits</w:t>
      </w:r>
      <w:r w:rsidRPr="00CC750E">
        <w:rPr>
          <w:rFonts w:ascii="Segoe UI" w:eastAsia="Times New Roman" w:hAnsi="Segoe UI" w:cs="Segoe UI"/>
          <w:kern w:val="0"/>
          <w:sz w:val="21"/>
          <w:szCs w:val="21"/>
          <w:lang w:eastAsia="en-GB"/>
          <w14:ligatures w14:val="none"/>
        </w:rPr>
        <w:br/>
        <w:t>A consistent delivery approach can improve focus, clarify accountability, identify problems earlier and support the delivery of strategic promises.</w:t>
      </w:r>
    </w:p>
    <w:p w14:paraId="1E007EC1"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b/>
          <w:bCs/>
          <w:kern w:val="0"/>
          <w:sz w:val="21"/>
          <w:szCs w:val="21"/>
          <w:lang w:eastAsia="en-GB"/>
          <w14:ligatures w14:val="none"/>
        </w:rPr>
        <w:t>Questions to consider</w:t>
      </w:r>
      <w:r w:rsidRPr="00CC750E">
        <w:rPr>
          <w:rFonts w:ascii="Segoe UI" w:eastAsia="Times New Roman" w:hAnsi="Segoe UI" w:cs="Segoe UI"/>
          <w:kern w:val="0"/>
          <w:sz w:val="21"/>
          <w:szCs w:val="21"/>
          <w:lang w:eastAsia="en-GB"/>
          <w14:ligatures w14:val="none"/>
        </w:rPr>
        <w:br/>
        <w:t>How has the approach changed delivery in practice, how does it avoid duplicating existing performance processes and what happens when a priority repeatedly fails to progress?</w:t>
      </w:r>
    </w:p>
    <w:p w14:paraId="140B6C69" w14:textId="77777777" w:rsidR="00CC750E" w:rsidRPr="00CC750E" w:rsidRDefault="00CC750E" w:rsidP="00CC750E">
      <w:pPr>
        <w:spacing w:after="0"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kern w:val="0"/>
          <w:sz w:val="21"/>
          <w:szCs w:val="21"/>
          <w:lang w:eastAsia="en-GB"/>
          <w14:ligatures w14:val="none"/>
        </w:rPr>
        <w:pict w14:anchorId="22616A49">
          <v:rect id="_x0000_i1097" style="width:0;height:1.5pt" o:hralign="center" o:hrstd="t" o:hr="t" fillcolor="#a0a0a0" stroked="f"/>
        </w:pict>
      </w:r>
    </w:p>
    <w:p w14:paraId="1D59B201" w14:textId="77777777" w:rsidR="00CC750E" w:rsidRPr="00CC750E" w:rsidRDefault="00CC750E" w:rsidP="00CC750E">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CC750E">
        <w:rPr>
          <w:rFonts w:ascii="Segoe UI" w:eastAsia="Times New Roman" w:hAnsi="Segoe UI" w:cs="Segoe UI"/>
          <w:b/>
          <w:bCs/>
          <w:kern w:val="36"/>
          <w:sz w:val="48"/>
          <w:szCs w:val="48"/>
          <w:lang w:eastAsia="en-GB"/>
          <w14:ligatures w14:val="none"/>
        </w:rPr>
        <w:t>Main areas for Board attention</w:t>
      </w:r>
    </w:p>
    <w:p w14:paraId="150E8EA2" w14:textId="77777777" w:rsidR="00CC750E" w:rsidRPr="00CC750E" w:rsidRDefault="00CC750E" w:rsidP="00CC750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C750E">
        <w:rPr>
          <w:rFonts w:ascii="Segoe UI" w:eastAsia="Times New Roman" w:hAnsi="Segoe UI" w:cs="Segoe UI"/>
          <w:kern w:val="0"/>
          <w:sz w:val="21"/>
          <w:szCs w:val="21"/>
          <w:lang w:eastAsia="en-GB"/>
          <w14:ligatures w14:val="none"/>
        </w:rPr>
        <w:t>The most significant areas for challenge across the pack were patient safety and clinical records, workforce sickness and medical vacancies, autism and neurodevelopmental waits, deterioration in four-week access, Mental Health Act compliance in Rotherham, unsigned commissioner contracts, delivery of the Trust’s strategic promises, CQC readiness and the ability to demonstrate that improvement actions were sustained.</w:t>
      </w:r>
    </w:p>
    <w:p w14:paraId="4AF834C0" w14:textId="6A828E27" w:rsidR="001F5BB9" w:rsidRPr="00CC750E" w:rsidRDefault="001F5BB9" w:rsidP="00CC750E">
      <w:pPr>
        <w:rPr>
          <w:b/>
          <w:bCs/>
        </w:rPr>
      </w:pPr>
    </w:p>
    <w:sectPr w:rsidR="001F5BB9" w:rsidRPr="00CC750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E768F"/>
    <w:multiLevelType w:val="multilevel"/>
    <w:tmpl w:val="2F7C3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364FB3"/>
    <w:multiLevelType w:val="multilevel"/>
    <w:tmpl w:val="7F1CB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795124"/>
    <w:multiLevelType w:val="multilevel"/>
    <w:tmpl w:val="24E60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962140"/>
    <w:multiLevelType w:val="multilevel"/>
    <w:tmpl w:val="8EE09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A55A5A"/>
    <w:multiLevelType w:val="multilevel"/>
    <w:tmpl w:val="0A5CE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CF4F6F"/>
    <w:multiLevelType w:val="multilevel"/>
    <w:tmpl w:val="47505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5610D4"/>
    <w:multiLevelType w:val="multilevel"/>
    <w:tmpl w:val="B43CD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564400"/>
    <w:multiLevelType w:val="multilevel"/>
    <w:tmpl w:val="EA7C2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BE7279"/>
    <w:multiLevelType w:val="multilevel"/>
    <w:tmpl w:val="C91EF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06C2573"/>
    <w:multiLevelType w:val="multilevel"/>
    <w:tmpl w:val="E1DC4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0E14262"/>
    <w:multiLevelType w:val="multilevel"/>
    <w:tmpl w:val="F1469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14E0173"/>
    <w:multiLevelType w:val="multilevel"/>
    <w:tmpl w:val="96D4B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2BA2367"/>
    <w:multiLevelType w:val="multilevel"/>
    <w:tmpl w:val="D7CA0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3A5BCD"/>
    <w:multiLevelType w:val="multilevel"/>
    <w:tmpl w:val="3A148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4D56A50"/>
    <w:multiLevelType w:val="multilevel"/>
    <w:tmpl w:val="A2E00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595182B"/>
    <w:multiLevelType w:val="multilevel"/>
    <w:tmpl w:val="D0A27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6A57DE8"/>
    <w:multiLevelType w:val="multilevel"/>
    <w:tmpl w:val="1B060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93E03CA"/>
    <w:multiLevelType w:val="multilevel"/>
    <w:tmpl w:val="F6D05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AAD0E7F"/>
    <w:multiLevelType w:val="multilevel"/>
    <w:tmpl w:val="AC70F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B956C3A"/>
    <w:multiLevelType w:val="multilevel"/>
    <w:tmpl w:val="5914E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D156BE6"/>
    <w:multiLevelType w:val="multilevel"/>
    <w:tmpl w:val="59407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E4E47A6"/>
    <w:multiLevelType w:val="multilevel"/>
    <w:tmpl w:val="D6365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0796FE8"/>
    <w:multiLevelType w:val="multilevel"/>
    <w:tmpl w:val="A8240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0DF3E3A"/>
    <w:multiLevelType w:val="multilevel"/>
    <w:tmpl w:val="ED989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264186C"/>
    <w:multiLevelType w:val="multilevel"/>
    <w:tmpl w:val="2310A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2FA010A"/>
    <w:multiLevelType w:val="multilevel"/>
    <w:tmpl w:val="0A860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53E7C5B"/>
    <w:multiLevelType w:val="multilevel"/>
    <w:tmpl w:val="25F6B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53F0B6E"/>
    <w:multiLevelType w:val="multilevel"/>
    <w:tmpl w:val="75CC8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84B6CB2"/>
    <w:multiLevelType w:val="multilevel"/>
    <w:tmpl w:val="49E09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A2309F"/>
    <w:multiLevelType w:val="multilevel"/>
    <w:tmpl w:val="0A886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BB63116"/>
    <w:multiLevelType w:val="multilevel"/>
    <w:tmpl w:val="9A54F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C8474A3"/>
    <w:multiLevelType w:val="multilevel"/>
    <w:tmpl w:val="CE32E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06B38D0"/>
    <w:multiLevelType w:val="multilevel"/>
    <w:tmpl w:val="8FEE0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0CD5A2F"/>
    <w:multiLevelType w:val="multilevel"/>
    <w:tmpl w:val="1F3A6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1EB325B"/>
    <w:multiLevelType w:val="multilevel"/>
    <w:tmpl w:val="2968F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2EF3F6D"/>
    <w:multiLevelType w:val="multilevel"/>
    <w:tmpl w:val="FA203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47A65D8"/>
    <w:multiLevelType w:val="multilevel"/>
    <w:tmpl w:val="A000A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6187915"/>
    <w:multiLevelType w:val="multilevel"/>
    <w:tmpl w:val="D73A6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72D70A3"/>
    <w:multiLevelType w:val="multilevel"/>
    <w:tmpl w:val="C7163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84E3C2B"/>
    <w:multiLevelType w:val="multilevel"/>
    <w:tmpl w:val="DD4E9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87B05B2"/>
    <w:multiLevelType w:val="multilevel"/>
    <w:tmpl w:val="799E2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9720902"/>
    <w:multiLevelType w:val="multilevel"/>
    <w:tmpl w:val="918E8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F4217C8"/>
    <w:multiLevelType w:val="multilevel"/>
    <w:tmpl w:val="0C42C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08568C6"/>
    <w:multiLevelType w:val="multilevel"/>
    <w:tmpl w:val="A5FE9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429265B"/>
    <w:multiLevelType w:val="multilevel"/>
    <w:tmpl w:val="454A8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44C6261"/>
    <w:multiLevelType w:val="multilevel"/>
    <w:tmpl w:val="E51AA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7DB5A8C"/>
    <w:multiLevelType w:val="multilevel"/>
    <w:tmpl w:val="0ECAD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AF0200D"/>
    <w:multiLevelType w:val="multilevel"/>
    <w:tmpl w:val="BADAB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BE27007"/>
    <w:multiLevelType w:val="multilevel"/>
    <w:tmpl w:val="2A7AF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D6D077C"/>
    <w:multiLevelType w:val="multilevel"/>
    <w:tmpl w:val="B0B6E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D7011DD"/>
    <w:multiLevelType w:val="multilevel"/>
    <w:tmpl w:val="0FBE6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D91011D"/>
    <w:multiLevelType w:val="multilevel"/>
    <w:tmpl w:val="AF700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D9E6E12"/>
    <w:multiLevelType w:val="multilevel"/>
    <w:tmpl w:val="0972C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E927D20"/>
    <w:multiLevelType w:val="multilevel"/>
    <w:tmpl w:val="1C2E5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06D21D1"/>
    <w:multiLevelType w:val="multilevel"/>
    <w:tmpl w:val="0BD4F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31A6323"/>
    <w:multiLevelType w:val="multilevel"/>
    <w:tmpl w:val="18725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3BD51F7"/>
    <w:multiLevelType w:val="multilevel"/>
    <w:tmpl w:val="81A88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6375227"/>
    <w:multiLevelType w:val="multilevel"/>
    <w:tmpl w:val="CC9CF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8ED3220"/>
    <w:multiLevelType w:val="multilevel"/>
    <w:tmpl w:val="5758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9AD19E4"/>
    <w:multiLevelType w:val="multilevel"/>
    <w:tmpl w:val="D11E1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9B40E4D"/>
    <w:multiLevelType w:val="multilevel"/>
    <w:tmpl w:val="C5981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D1D6177"/>
    <w:multiLevelType w:val="multilevel"/>
    <w:tmpl w:val="98545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E7D2443"/>
    <w:multiLevelType w:val="multilevel"/>
    <w:tmpl w:val="B178B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5C74BB8"/>
    <w:multiLevelType w:val="multilevel"/>
    <w:tmpl w:val="0E9AA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7A73AB8"/>
    <w:multiLevelType w:val="multilevel"/>
    <w:tmpl w:val="A7EEF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9261851"/>
    <w:multiLevelType w:val="multilevel"/>
    <w:tmpl w:val="37C4C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95A7264"/>
    <w:multiLevelType w:val="multilevel"/>
    <w:tmpl w:val="60783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A4074A2"/>
    <w:multiLevelType w:val="multilevel"/>
    <w:tmpl w:val="5C30F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D325569"/>
    <w:multiLevelType w:val="multilevel"/>
    <w:tmpl w:val="EDAEC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DBA4943"/>
    <w:multiLevelType w:val="multilevel"/>
    <w:tmpl w:val="AE92A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F956711"/>
    <w:multiLevelType w:val="multilevel"/>
    <w:tmpl w:val="3E64E58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711F0928"/>
    <w:multiLevelType w:val="multilevel"/>
    <w:tmpl w:val="0BB81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1790278"/>
    <w:multiLevelType w:val="multilevel"/>
    <w:tmpl w:val="D180B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3653B52"/>
    <w:multiLevelType w:val="multilevel"/>
    <w:tmpl w:val="D4D80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55B72DE"/>
    <w:multiLevelType w:val="multilevel"/>
    <w:tmpl w:val="FA226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6B24BCF"/>
    <w:multiLevelType w:val="multilevel"/>
    <w:tmpl w:val="12827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6F32D2A"/>
    <w:multiLevelType w:val="multilevel"/>
    <w:tmpl w:val="A71EC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90751D1"/>
    <w:multiLevelType w:val="multilevel"/>
    <w:tmpl w:val="1882A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9E7734F"/>
    <w:multiLevelType w:val="multilevel"/>
    <w:tmpl w:val="C9CAD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7A3A65CE"/>
    <w:multiLevelType w:val="multilevel"/>
    <w:tmpl w:val="D9BCA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7ADC2623"/>
    <w:multiLevelType w:val="multilevel"/>
    <w:tmpl w:val="69B48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7C564EB1"/>
    <w:multiLevelType w:val="multilevel"/>
    <w:tmpl w:val="25D83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7DAA29F6"/>
    <w:multiLevelType w:val="multilevel"/>
    <w:tmpl w:val="F6722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7FCD4219"/>
    <w:multiLevelType w:val="multilevel"/>
    <w:tmpl w:val="10C6B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539751">
    <w:abstractNumId w:val="53"/>
  </w:num>
  <w:num w:numId="2" w16cid:durableId="542526399">
    <w:abstractNumId w:val="44"/>
  </w:num>
  <w:num w:numId="3" w16cid:durableId="1806266031">
    <w:abstractNumId w:val="28"/>
  </w:num>
  <w:num w:numId="4" w16cid:durableId="514660843">
    <w:abstractNumId w:val="80"/>
  </w:num>
  <w:num w:numId="5" w16cid:durableId="1923369171">
    <w:abstractNumId w:val="71"/>
  </w:num>
  <w:num w:numId="6" w16cid:durableId="1931960359">
    <w:abstractNumId w:val="1"/>
  </w:num>
  <w:num w:numId="7" w16cid:durableId="1909532910">
    <w:abstractNumId w:val="10"/>
  </w:num>
  <w:num w:numId="8" w16cid:durableId="27996750">
    <w:abstractNumId w:val="63"/>
  </w:num>
  <w:num w:numId="9" w16cid:durableId="1977494014">
    <w:abstractNumId w:val="0"/>
  </w:num>
  <w:num w:numId="10" w16cid:durableId="134572501">
    <w:abstractNumId w:val="42"/>
  </w:num>
  <w:num w:numId="11" w16cid:durableId="2015496847">
    <w:abstractNumId w:val="66"/>
  </w:num>
  <w:num w:numId="12" w16cid:durableId="513999598">
    <w:abstractNumId w:val="36"/>
  </w:num>
  <w:num w:numId="13" w16cid:durableId="1695643923">
    <w:abstractNumId w:val="20"/>
  </w:num>
  <w:num w:numId="14" w16cid:durableId="1557626261">
    <w:abstractNumId w:val="7"/>
  </w:num>
  <w:num w:numId="15" w16cid:durableId="944268705">
    <w:abstractNumId w:val="24"/>
  </w:num>
  <w:num w:numId="16" w16cid:durableId="1077556009">
    <w:abstractNumId w:val="16"/>
  </w:num>
  <w:num w:numId="17" w16cid:durableId="1702045924">
    <w:abstractNumId w:val="67"/>
  </w:num>
  <w:num w:numId="18" w16cid:durableId="1277719055">
    <w:abstractNumId w:val="78"/>
  </w:num>
  <w:num w:numId="19" w16cid:durableId="1431122503">
    <w:abstractNumId w:val="69"/>
  </w:num>
  <w:num w:numId="20" w16cid:durableId="1350444705">
    <w:abstractNumId w:val="12"/>
  </w:num>
  <w:num w:numId="21" w16cid:durableId="2014071198">
    <w:abstractNumId w:val="30"/>
  </w:num>
  <w:num w:numId="22" w16cid:durableId="1066295442">
    <w:abstractNumId w:val="73"/>
  </w:num>
  <w:num w:numId="23" w16cid:durableId="1282686178">
    <w:abstractNumId w:val="15"/>
  </w:num>
  <w:num w:numId="24" w16cid:durableId="1861048396">
    <w:abstractNumId w:val="82"/>
  </w:num>
  <w:num w:numId="25" w16cid:durableId="1171018746">
    <w:abstractNumId w:val="37"/>
  </w:num>
  <w:num w:numId="26" w16cid:durableId="317273289">
    <w:abstractNumId w:val="64"/>
  </w:num>
  <w:num w:numId="27" w16cid:durableId="924142705">
    <w:abstractNumId w:val="32"/>
  </w:num>
  <w:num w:numId="28" w16cid:durableId="726270405">
    <w:abstractNumId w:val="83"/>
  </w:num>
  <w:num w:numId="29" w16cid:durableId="1321158497">
    <w:abstractNumId w:val="18"/>
  </w:num>
  <w:num w:numId="30" w16cid:durableId="1974555531">
    <w:abstractNumId w:val="9"/>
  </w:num>
  <w:num w:numId="31" w16cid:durableId="907958272">
    <w:abstractNumId w:val="55"/>
  </w:num>
  <w:num w:numId="32" w16cid:durableId="1636178816">
    <w:abstractNumId w:val="51"/>
  </w:num>
  <w:num w:numId="33" w16cid:durableId="126244093">
    <w:abstractNumId w:val="25"/>
  </w:num>
  <w:num w:numId="34" w16cid:durableId="1700858396">
    <w:abstractNumId w:val="45"/>
  </w:num>
  <w:num w:numId="35" w16cid:durableId="1459372888">
    <w:abstractNumId w:val="2"/>
  </w:num>
  <w:num w:numId="36" w16cid:durableId="678585447">
    <w:abstractNumId w:val="48"/>
  </w:num>
  <w:num w:numId="37" w16cid:durableId="1265072530">
    <w:abstractNumId w:val="23"/>
  </w:num>
  <w:num w:numId="38" w16cid:durableId="2006473974">
    <w:abstractNumId w:val="26"/>
  </w:num>
  <w:num w:numId="39" w16cid:durableId="1788043625">
    <w:abstractNumId w:val="14"/>
  </w:num>
  <w:num w:numId="40" w16cid:durableId="883100926">
    <w:abstractNumId w:val="34"/>
  </w:num>
  <w:num w:numId="41" w16cid:durableId="1204174025">
    <w:abstractNumId w:val="27"/>
  </w:num>
  <w:num w:numId="42" w16cid:durableId="1583759433">
    <w:abstractNumId w:val="39"/>
  </w:num>
  <w:num w:numId="43" w16cid:durableId="1517697134">
    <w:abstractNumId w:val="77"/>
  </w:num>
  <w:num w:numId="44" w16cid:durableId="188614298">
    <w:abstractNumId w:val="5"/>
  </w:num>
  <w:num w:numId="45" w16cid:durableId="585920961">
    <w:abstractNumId w:val="76"/>
  </w:num>
  <w:num w:numId="46" w16cid:durableId="580601601">
    <w:abstractNumId w:val="58"/>
  </w:num>
  <w:num w:numId="47" w16cid:durableId="1779761635">
    <w:abstractNumId w:val="43"/>
  </w:num>
  <w:num w:numId="48" w16cid:durableId="1915889188">
    <w:abstractNumId w:val="17"/>
  </w:num>
  <w:num w:numId="49" w16cid:durableId="542526809">
    <w:abstractNumId w:val="74"/>
  </w:num>
  <w:num w:numId="50" w16cid:durableId="431047043">
    <w:abstractNumId w:val="13"/>
  </w:num>
  <w:num w:numId="51" w16cid:durableId="655961912">
    <w:abstractNumId w:val="8"/>
  </w:num>
  <w:num w:numId="52" w16cid:durableId="1113017891">
    <w:abstractNumId w:val="31"/>
  </w:num>
  <w:num w:numId="53" w16cid:durableId="251860593">
    <w:abstractNumId w:val="62"/>
  </w:num>
  <w:num w:numId="54" w16cid:durableId="1820725703">
    <w:abstractNumId w:val="35"/>
  </w:num>
  <w:num w:numId="55" w16cid:durableId="944537499">
    <w:abstractNumId w:val="40"/>
  </w:num>
  <w:num w:numId="56" w16cid:durableId="1329673959">
    <w:abstractNumId w:val="41"/>
  </w:num>
  <w:num w:numId="57" w16cid:durableId="2026056516">
    <w:abstractNumId w:val="65"/>
  </w:num>
  <w:num w:numId="58" w16cid:durableId="2090347951">
    <w:abstractNumId w:val="79"/>
  </w:num>
  <w:num w:numId="59" w16cid:durableId="1305963732">
    <w:abstractNumId w:val="54"/>
  </w:num>
  <w:num w:numId="60" w16cid:durableId="1125081020">
    <w:abstractNumId w:val="61"/>
  </w:num>
  <w:num w:numId="61" w16cid:durableId="2031641021">
    <w:abstractNumId w:val="72"/>
  </w:num>
  <w:num w:numId="62" w16cid:durableId="101731633">
    <w:abstractNumId w:val="50"/>
  </w:num>
  <w:num w:numId="63" w16cid:durableId="2115202560">
    <w:abstractNumId w:val="22"/>
  </w:num>
  <w:num w:numId="64" w16cid:durableId="1805653165">
    <w:abstractNumId w:val="38"/>
  </w:num>
  <w:num w:numId="65" w16cid:durableId="1510100510">
    <w:abstractNumId w:val="60"/>
  </w:num>
  <w:num w:numId="66" w16cid:durableId="226232632">
    <w:abstractNumId w:val="4"/>
  </w:num>
  <w:num w:numId="67" w16cid:durableId="2146266574">
    <w:abstractNumId w:val="68"/>
  </w:num>
  <w:num w:numId="68" w16cid:durableId="1595018564">
    <w:abstractNumId w:val="56"/>
  </w:num>
  <w:num w:numId="69" w16cid:durableId="788548611">
    <w:abstractNumId w:val="19"/>
  </w:num>
  <w:num w:numId="70" w16cid:durableId="2121996138">
    <w:abstractNumId w:val="59"/>
  </w:num>
  <w:num w:numId="71" w16cid:durableId="261306476">
    <w:abstractNumId w:val="75"/>
  </w:num>
  <w:num w:numId="72" w16cid:durableId="497041322">
    <w:abstractNumId w:val="57"/>
  </w:num>
  <w:num w:numId="73" w16cid:durableId="831331116">
    <w:abstractNumId w:val="33"/>
  </w:num>
  <w:num w:numId="74" w16cid:durableId="1241409953">
    <w:abstractNumId w:val="21"/>
  </w:num>
  <w:num w:numId="75" w16cid:durableId="1110592767">
    <w:abstractNumId w:val="70"/>
  </w:num>
  <w:num w:numId="76" w16cid:durableId="2094089056">
    <w:abstractNumId w:val="52"/>
  </w:num>
  <w:num w:numId="77" w16cid:durableId="1973830747">
    <w:abstractNumId w:val="81"/>
  </w:num>
  <w:num w:numId="78" w16cid:durableId="744646219">
    <w:abstractNumId w:val="3"/>
  </w:num>
  <w:num w:numId="79" w16cid:durableId="1796679590">
    <w:abstractNumId w:val="6"/>
  </w:num>
  <w:num w:numId="80" w16cid:durableId="1877305868">
    <w:abstractNumId w:val="46"/>
  </w:num>
  <w:num w:numId="81" w16cid:durableId="25645026">
    <w:abstractNumId w:val="11"/>
  </w:num>
  <w:num w:numId="82" w16cid:durableId="1164394708">
    <w:abstractNumId w:val="47"/>
  </w:num>
  <w:num w:numId="83" w16cid:durableId="416176024">
    <w:abstractNumId w:val="49"/>
  </w:num>
  <w:num w:numId="84" w16cid:durableId="65930220">
    <w:abstractNumId w:val="29"/>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9E1"/>
    <w:rsid w:val="0005475D"/>
    <w:rsid w:val="000639E1"/>
    <w:rsid w:val="000D1115"/>
    <w:rsid w:val="001C1F77"/>
    <w:rsid w:val="001C25C6"/>
    <w:rsid w:val="001F5BB9"/>
    <w:rsid w:val="002A1F04"/>
    <w:rsid w:val="002D28F8"/>
    <w:rsid w:val="003C5F34"/>
    <w:rsid w:val="003E50E3"/>
    <w:rsid w:val="0040661F"/>
    <w:rsid w:val="00464FB5"/>
    <w:rsid w:val="00506E9D"/>
    <w:rsid w:val="00597245"/>
    <w:rsid w:val="005B26A4"/>
    <w:rsid w:val="006320DF"/>
    <w:rsid w:val="0064344F"/>
    <w:rsid w:val="00685B29"/>
    <w:rsid w:val="006A05B3"/>
    <w:rsid w:val="006B7B7C"/>
    <w:rsid w:val="006E3408"/>
    <w:rsid w:val="00702851"/>
    <w:rsid w:val="007211BE"/>
    <w:rsid w:val="007D35AB"/>
    <w:rsid w:val="008128F0"/>
    <w:rsid w:val="00827AB1"/>
    <w:rsid w:val="00857521"/>
    <w:rsid w:val="0087325E"/>
    <w:rsid w:val="008F2006"/>
    <w:rsid w:val="009236AE"/>
    <w:rsid w:val="0092427A"/>
    <w:rsid w:val="009A099A"/>
    <w:rsid w:val="009D4715"/>
    <w:rsid w:val="00A86423"/>
    <w:rsid w:val="00AA7281"/>
    <w:rsid w:val="00B07F56"/>
    <w:rsid w:val="00B71D37"/>
    <w:rsid w:val="00B96369"/>
    <w:rsid w:val="00BA0484"/>
    <w:rsid w:val="00BF29E1"/>
    <w:rsid w:val="00C14816"/>
    <w:rsid w:val="00C87762"/>
    <w:rsid w:val="00CC58C6"/>
    <w:rsid w:val="00CC750E"/>
    <w:rsid w:val="00D44A76"/>
    <w:rsid w:val="00D621C0"/>
    <w:rsid w:val="00E4681A"/>
    <w:rsid w:val="00F047DD"/>
    <w:rsid w:val="00F856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AB893"/>
  <w15:chartTrackingRefBased/>
  <w15:docId w15:val="{21669002-A54D-4784-82CD-1E5E572D0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0639E1"/>
    <w:pPr>
      <w:keepNext/>
      <w:keepLines/>
      <w:spacing w:after="0" w:line="240" w:lineRule="auto"/>
      <w:outlineLvl w:val="0"/>
    </w:pPr>
    <w:rPr>
      <w:rFonts w:eastAsia="Times New Roman"/>
      <w:b/>
      <w:color w:val="000000" w:themeColor="text1"/>
      <w:sz w:val="32"/>
      <w:lang w:eastAsia="en-GB"/>
    </w:rPr>
  </w:style>
  <w:style w:type="paragraph" w:styleId="Heading2">
    <w:name w:val="heading 2"/>
    <w:basedOn w:val="Normal"/>
    <w:next w:val="Normal"/>
    <w:link w:val="Heading2Char"/>
    <w:autoRedefine/>
    <w:uiPriority w:val="9"/>
    <w:unhideWhenUsed/>
    <w:qFormat/>
    <w:rsid w:val="008128F0"/>
    <w:pPr>
      <w:keepNext/>
      <w:keepLines/>
      <w:spacing w:before="160" w:after="80" w:line="259" w:lineRule="auto"/>
      <w:outlineLvl w:val="1"/>
    </w:pPr>
    <w:rPr>
      <w:rFonts w:ascii="Arial" w:eastAsiaTheme="majorEastAsia" w:hAnsi="Arial" w:cstheme="majorBidi"/>
      <w:b/>
      <w:i/>
      <w:sz w:val="28"/>
      <w:szCs w:val="32"/>
    </w:rPr>
  </w:style>
  <w:style w:type="paragraph" w:styleId="Heading3">
    <w:name w:val="heading 3"/>
    <w:basedOn w:val="Normal"/>
    <w:next w:val="Normal"/>
    <w:link w:val="Heading3Char"/>
    <w:autoRedefine/>
    <w:uiPriority w:val="9"/>
    <w:unhideWhenUsed/>
    <w:qFormat/>
    <w:rsid w:val="00F047DD"/>
    <w:pPr>
      <w:keepNext/>
      <w:spacing w:before="240" w:after="60" w:line="240" w:lineRule="auto"/>
      <w:outlineLvl w:val="2"/>
    </w:pPr>
    <w:rPr>
      <w:rFonts w:ascii="Arial" w:eastAsia="Times New Roman" w:hAnsi="Arial"/>
      <w:b/>
      <w:bCs/>
      <w:szCs w:val="26"/>
    </w:rPr>
  </w:style>
  <w:style w:type="paragraph" w:styleId="Heading4">
    <w:name w:val="heading 4"/>
    <w:basedOn w:val="Normal"/>
    <w:next w:val="Normal"/>
    <w:link w:val="Heading4Char"/>
    <w:uiPriority w:val="9"/>
    <w:semiHidden/>
    <w:unhideWhenUsed/>
    <w:qFormat/>
    <w:rsid w:val="00BF29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29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29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29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29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29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39E1"/>
    <w:rPr>
      <w:rFonts w:eastAsia="Times New Roman"/>
      <w:b/>
      <w:color w:val="000000" w:themeColor="text1"/>
      <w:sz w:val="32"/>
      <w:lang w:eastAsia="en-GB"/>
    </w:rPr>
  </w:style>
  <w:style w:type="character" w:customStyle="1" w:styleId="Heading2Char">
    <w:name w:val="Heading 2 Char"/>
    <w:basedOn w:val="DefaultParagraphFont"/>
    <w:link w:val="Heading2"/>
    <w:uiPriority w:val="9"/>
    <w:rsid w:val="008128F0"/>
    <w:rPr>
      <w:rFonts w:ascii="Arial" w:eastAsiaTheme="majorEastAsia" w:hAnsi="Arial" w:cstheme="majorBidi"/>
      <w:b/>
      <w:i/>
      <w:sz w:val="28"/>
      <w:szCs w:val="32"/>
    </w:rPr>
  </w:style>
  <w:style w:type="character" w:customStyle="1" w:styleId="Heading3Char">
    <w:name w:val="Heading 3 Char"/>
    <w:link w:val="Heading3"/>
    <w:uiPriority w:val="9"/>
    <w:rsid w:val="00F047DD"/>
    <w:rPr>
      <w:rFonts w:ascii="Arial" w:eastAsia="Times New Roman" w:hAnsi="Arial"/>
      <w:b/>
      <w:bCs/>
      <w:szCs w:val="26"/>
    </w:rPr>
  </w:style>
  <w:style w:type="paragraph" w:styleId="Subtitle">
    <w:name w:val="Subtitle"/>
    <w:basedOn w:val="Normal"/>
    <w:next w:val="Normal"/>
    <w:link w:val="SubtitleChar"/>
    <w:autoRedefine/>
    <w:uiPriority w:val="11"/>
    <w:qFormat/>
    <w:rsid w:val="000639E1"/>
    <w:pPr>
      <w:numPr>
        <w:ilvl w:val="1"/>
      </w:numPr>
      <w:spacing w:after="0" w:line="240" w:lineRule="auto"/>
    </w:pPr>
    <w:rPr>
      <w:rFonts w:eastAsiaTheme="minorEastAsia"/>
      <w:b/>
      <w:i/>
      <w:color w:val="000000" w:themeColor="text1"/>
      <w:sz w:val="28"/>
      <w:szCs w:val="22"/>
    </w:rPr>
  </w:style>
  <w:style w:type="character" w:customStyle="1" w:styleId="SubtitleChar">
    <w:name w:val="Subtitle Char"/>
    <w:basedOn w:val="DefaultParagraphFont"/>
    <w:link w:val="Subtitle"/>
    <w:uiPriority w:val="11"/>
    <w:rsid w:val="000639E1"/>
    <w:rPr>
      <w:rFonts w:eastAsiaTheme="minorEastAsia"/>
      <w:b/>
      <w:i/>
      <w:color w:val="000000" w:themeColor="text1"/>
      <w:sz w:val="28"/>
      <w:szCs w:val="22"/>
    </w:rPr>
  </w:style>
  <w:style w:type="character" w:customStyle="1" w:styleId="Heading4Char">
    <w:name w:val="Heading 4 Char"/>
    <w:basedOn w:val="DefaultParagraphFont"/>
    <w:link w:val="Heading4"/>
    <w:uiPriority w:val="9"/>
    <w:semiHidden/>
    <w:rsid w:val="00BF29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29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29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29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29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29E1"/>
    <w:rPr>
      <w:rFonts w:eastAsiaTheme="majorEastAsia" w:cstheme="majorBidi"/>
      <w:color w:val="272727" w:themeColor="text1" w:themeTint="D8"/>
    </w:rPr>
  </w:style>
  <w:style w:type="paragraph" w:styleId="Title">
    <w:name w:val="Title"/>
    <w:basedOn w:val="Normal"/>
    <w:next w:val="Normal"/>
    <w:link w:val="TitleChar"/>
    <w:uiPriority w:val="10"/>
    <w:qFormat/>
    <w:rsid w:val="00BF29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29E1"/>
    <w:rPr>
      <w:rFonts w:asciiTheme="majorHAnsi" w:eastAsiaTheme="majorEastAsia" w:hAnsiTheme="majorHAnsi" w:cstheme="majorBidi"/>
      <w:spacing w:val="-10"/>
      <w:kern w:val="28"/>
      <w:sz w:val="56"/>
      <w:szCs w:val="56"/>
    </w:rPr>
  </w:style>
  <w:style w:type="paragraph" w:styleId="Quote">
    <w:name w:val="Quote"/>
    <w:basedOn w:val="Normal"/>
    <w:next w:val="Normal"/>
    <w:link w:val="QuoteChar"/>
    <w:uiPriority w:val="29"/>
    <w:qFormat/>
    <w:rsid w:val="00BF29E1"/>
    <w:pPr>
      <w:spacing w:before="160"/>
      <w:jc w:val="center"/>
    </w:pPr>
    <w:rPr>
      <w:i/>
      <w:iCs/>
      <w:color w:val="404040" w:themeColor="text1" w:themeTint="BF"/>
    </w:rPr>
  </w:style>
  <w:style w:type="character" w:customStyle="1" w:styleId="QuoteChar">
    <w:name w:val="Quote Char"/>
    <w:basedOn w:val="DefaultParagraphFont"/>
    <w:link w:val="Quote"/>
    <w:uiPriority w:val="29"/>
    <w:rsid w:val="00BF29E1"/>
    <w:rPr>
      <w:i/>
      <w:iCs/>
      <w:color w:val="404040" w:themeColor="text1" w:themeTint="BF"/>
    </w:rPr>
  </w:style>
  <w:style w:type="paragraph" w:styleId="ListParagraph">
    <w:name w:val="List Paragraph"/>
    <w:basedOn w:val="Normal"/>
    <w:uiPriority w:val="34"/>
    <w:qFormat/>
    <w:rsid w:val="00BF29E1"/>
    <w:pPr>
      <w:ind w:left="720"/>
      <w:contextualSpacing/>
    </w:pPr>
  </w:style>
  <w:style w:type="character" w:styleId="IntenseEmphasis">
    <w:name w:val="Intense Emphasis"/>
    <w:basedOn w:val="DefaultParagraphFont"/>
    <w:uiPriority w:val="21"/>
    <w:qFormat/>
    <w:rsid w:val="00BF29E1"/>
    <w:rPr>
      <w:i/>
      <w:iCs/>
      <w:color w:val="0F4761" w:themeColor="accent1" w:themeShade="BF"/>
    </w:rPr>
  </w:style>
  <w:style w:type="paragraph" w:styleId="IntenseQuote">
    <w:name w:val="Intense Quote"/>
    <w:basedOn w:val="Normal"/>
    <w:next w:val="Normal"/>
    <w:link w:val="IntenseQuoteChar"/>
    <w:uiPriority w:val="30"/>
    <w:qFormat/>
    <w:rsid w:val="00BF29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29E1"/>
    <w:rPr>
      <w:i/>
      <w:iCs/>
      <w:color w:val="0F4761" w:themeColor="accent1" w:themeShade="BF"/>
    </w:rPr>
  </w:style>
  <w:style w:type="character" w:styleId="IntenseReference">
    <w:name w:val="Intense Reference"/>
    <w:basedOn w:val="DefaultParagraphFont"/>
    <w:uiPriority w:val="32"/>
    <w:qFormat/>
    <w:rsid w:val="00BF29E1"/>
    <w:rPr>
      <w:b/>
      <w:bCs/>
      <w:smallCaps/>
      <w:color w:val="0F4761" w:themeColor="accent1" w:themeShade="BF"/>
      <w:spacing w:val="5"/>
    </w:rPr>
  </w:style>
  <w:style w:type="character" w:styleId="Hyperlink">
    <w:name w:val="Hyperlink"/>
    <w:basedOn w:val="DefaultParagraphFont"/>
    <w:uiPriority w:val="99"/>
    <w:unhideWhenUsed/>
    <w:rsid w:val="00BF29E1"/>
    <w:rPr>
      <w:color w:val="467886" w:themeColor="hyperlink"/>
      <w:u w:val="single"/>
    </w:rPr>
  </w:style>
  <w:style w:type="character" w:styleId="UnresolvedMention">
    <w:name w:val="Unresolved Mention"/>
    <w:basedOn w:val="DefaultParagraphFont"/>
    <w:uiPriority w:val="99"/>
    <w:semiHidden/>
    <w:unhideWhenUsed/>
    <w:rsid w:val="00BF29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12</Pages>
  <Words>2821</Words>
  <Characters>17551</Characters>
  <Application>Microsoft Office Word</Application>
  <DocSecurity>0</DocSecurity>
  <Lines>548</Lines>
  <Paragraphs>509</Paragraphs>
  <ScaleCrop>false</ScaleCrop>
  <Company/>
  <LinksUpToDate>false</LinksUpToDate>
  <CharactersWithSpaces>19863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 Sarah (ROTHERHAM DONCASTER AND SOUTH HUMBER NHS FOUNDATION TRUST)</dc:creator>
  <cp:keywords/>
  <dc:description/>
  <cp:lastModifiedBy>DEAN, Sarah (ROTHERHAM DONCASTER AND SOUTH HUMBER NHS FOUNDATION TRUST)</cp:lastModifiedBy>
  <cp:revision>3</cp:revision>
  <dcterms:created xsi:type="dcterms:W3CDTF">2026-07-27T08:05:00Z</dcterms:created>
  <dcterms:modified xsi:type="dcterms:W3CDTF">2026-09-21T08:14:00Z</dcterms:modified>
</cp:coreProperties>
</file>